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20E1" w:rsidRDefault="006D20E1" w:rsidP="006D20E1">
      <w:pPr>
        <w:rPr>
          <w:rStyle w:val="Textoennegrita"/>
          <w:rFonts w:ascii="Arial" w:hAnsi="Arial" w:cs="Arial"/>
          <w:sz w:val="24"/>
          <w:szCs w:val="24"/>
        </w:rPr>
      </w:pPr>
      <w:r>
        <w:rPr>
          <w:rStyle w:val="Textoennegrita"/>
          <w:rFonts w:ascii="Arial" w:hAnsi="Arial" w:cs="Arial"/>
          <w:sz w:val="24"/>
          <w:szCs w:val="24"/>
        </w:rPr>
        <w:t>11-05-2026</w:t>
      </w:r>
    </w:p>
    <w:p w:rsidR="00D06BB5" w:rsidRPr="00E207A2" w:rsidRDefault="00E207A2" w:rsidP="00E207A2">
      <w:pPr>
        <w:jc w:val="center"/>
        <w:rPr>
          <w:rFonts w:ascii="Arial" w:hAnsi="Arial" w:cs="Arial"/>
          <w:sz w:val="24"/>
          <w:szCs w:val="24"/>
        </w:rPr>
      </w:pPr>
      <w:r w:rsidRPr="00E207A2">
        <w:rPr>
          <w:rStyle w:val="Textoennegrita"/>
          <w:rFonts w:ascii="Arial" w:hAnsi="Arial" w:cs="Arial"/>
          <w:sz w:val="24"/>
          <w:szCs w:val="24"/>
        </w:rPr>
        <w:t>PLAN DEPARTAMENTAL DE GESTIÓN DEL RIESGO DE DESASTRES (PDGRD)</w:t>
      </w:r>
      <w:r w:rsidRPr="00E207A2">
        <w:rPr>
          <w:rFonts w:ascii="Arial" w:hAnsi="Arial" w:cs="Arial"/>
          <w:b/>
          <w:sz w:val="24"/>
          <w:szCs w:val="24"/>
        </w:rPr>
        <w:t xml:space="preserve"> DEL CAQUETÁ,</w:t>
      </w:r>
    </w:p>
    <w:p w:rsidR="00D06BB5" w:rsidRPr="00E207A2" w:rsidRDefault="00D06BB5" w:rsidP="00E207A2">
      <w:pPr>
        <w:jc w:val="both"/>
        <w:rPr>
          <w:rFonts w:ascii="Arial" w:hAnsi="Arial" w:cs="Arial"/>
          <w:sz w:val="24"/>
          <w:szCs w:val="24"/>
        </w:rPr>
      </w:pPr>
    </w:p>
    <w:p w:rsidR="00D06BB5" w:rsidRPr="00E207A2" w:rsidRDefault="00D06BB5" w:rsidP="00E207A2">
      <w:pPr>
        <w:jc w:val="both"/>
        <w:rPr>
          <w:rFonts w:ascii="Arial" w:hAnsi="Arial" w:cs="Arial"/>
          <w:sz w:val="24"/>
          <w:szCs w:val="24"/>
        </w:rPr>
      </w:pPr>
      <w:r w:rsidRPr="00E207A2">
        <w:rPr>
          <w:rFonts w:ascii="Arial" w:hAnsi="Arial" w:cs="Arial"/>
          <w:sz w:val="24"/>
          <w:szCs w:val="24"/>
        </w:rPr>
        <w:t>E</w:t>
      </w:r>
      <w:r w:rsidR="002D3268" w:rsidRPr="00E207A2">
        <w:rPr>
          <w:rFonts w:ascii="Arial" w:hAnsi="Arial" w:cs="Arial"/>
          <w:sz w:val="24"/>
          <w:szCs w:val="24"/>
        </w:rPr>
        <w:t xml:space="preserve">laborado en el año 2018 bajo la administración de </w:t>
      </w:r>
      <w:r w:rsidRPr="00E207A2">
        <w:rPr>
          <w:rFonts w:ascii="Arial" w:hAnsi="Arial" w:cs="Arial"/>
          <w:sz w:val="24"/>
          <w:szCs w:val="24"/>
        </w:rPr>
        <w:t>Álvaro</w:t>
      </w:r>
      <w:r w:rsidR="002D3268" w:rsidRPr="00E207A2">
        <w:rPr>
          <w:rFonts w:ascii="Arial" w:hAnsi="Arial" w:cs="Arial"/>
          <w:sz w:val="24"/>
          <w:szCs w:val="24"/>
        </w:rPr>
        <w:t xml:space="preserve"> Pacheco </w:t>
      </w:r>
      <w:r w:rsidRPr="00E207A2">
        <w:rPr>
          <w:rFonts w:ascii="Arial" w:hAnsi="Arial" w:cs="Arial"/>
          <w:sz w:val="24"/>
          <w:szCs w:val="24"/>
        </w:rPr>
        <w:t>Álvarez</w:t>
      </w:r>
    </w:p>
    <w:p w:rsidR="00D06BB5" w:rsidRPr="00E207A2" w:rsidRDefault="00D06BB5" w:rsidP="00E207A2">
      <w:pPr>
        <w:jc w:val="both"/>
        <w:rPr>
          <w:rFonts w:ascii="Arial" w:hAnsi="Arial" w:cs="Arial"/>
          <w:sz w:val="24"/>
          <w:szCs w:val="24"/>
        </w:rPr>
      </w:pPr>
      <w:r w:rsidRPr="00E207A2">
        <w:rPr>
          <w:rFonts w:ascii="Arial" w:hAnsi="Arial" w:cs="Arial"/>
          <w:b/>
          <w:sz w:val="24"/>
          <w:szCs w:val="24"/>
        </w:rPr>
        <w:t>Objetivo principal:</w:t>
      </w:r>
      <w:r w:rsidRPr="00E207A2">
        <w:rPr>
          <w:rFonts w:ascii="Arial" w:hAnsi="Arial" w:cs="Arial"/>
          <w:sz w:val="24"/>
          <w:szCs w:val="24"/>
        </w:rPr>
        <w:t xml:space="preserve"> </w:t>
      </w:r>
      <w:r w:rsidR="002D3268" w:rsidRPr="00E207A2">
        <w:rPr>
          <w:rFonts w:ascii="Arial" w:hAnsi="Arial" w:cs="Arial"/>
          <w:sz w:val="24"/>
          <w:szCs w:val="24"/>
        </w:rPr>
        <w:t xml:space="preserve">orientar a la administración departamental para </w:t>
      </w:r>
      <w:r w:rsidR="002D3268" w:rsidRPr="00E207A2">
        <w:rPr>
          <w:rStyle w:val="Textoennegrita"/>
          <w:rFonts w:ascii="Arial" w:hAnsi="Arial" w:cs="Arial"/>
          <w:sz w:val="24"/>
          <w:szCs w:val="24"/>
        </w:rPr>
        <w:t>conocer, reducir y manejar los riesgos</w:t>
      </w:r>
      <w:r w:rsidR="002D3268" w:rsidRPr="00E207A2">
        <w:rPr>
          <w:rFonts w:ascii="Arial" w:hAnsi="Arial" w:cs="Arial"/>
          <w:sz w:val="24"/>
          <w:szCs w:val="24"/>
        </w:rPr>
        <w:t xml:space="preserve"> (naturales y antrópicos) para proteger a la población, la economía y el medio ambiente.</w:t>
      </w:r>
    </w:p>
    <w:p w:rsidR="00D06BB5" w:rsidRPr="00E207A2" w:rsidRDefault="00D06BB5" w:rsidP="00E207A2">
      <w:pPr>
        <w:spacing w:line="240" w:lineRule="auto"/>
        <w:jc w:val="both"/>
        <w:rPr>
          <w:rFonts w:ascii="Arial" w:eastAsia="Times New Roman" w:hAnsi="Arial" w:cs="Arial"/>
          <w:b/>
          <w:bCs/>
          <w:sz w:val="24"/>
          <w:szCs w:val="24"/>
          <w:lang w:eastAsia="es-ES"/>
        </w:rPr>
      </w:pPr>
      <w:r w:rsidRPr="00E207A2">
        <w:rPr>
          <w:rFonts w:ascii="Arial" w:eastAsia="Times New Roman" w:hAnsi="Arial" w:cs="Arial"/>
          <w:b/>
          <w:bCs/>
          <w:sz w:val="24"/>
          <w:szCs w:val="24"/>
          <w:lang w:eastAsia="es-ES"/>
        </w:rPr>
        <w:t>Identidad Institucional y Legal</w:t>
      </w:r>
    </w:p>
    <w:p w:rsidR="00D06BB5" w:rsidRPr="00E207A2" w:rsidRDefault="00D06BB5" w:rsidP="00E207A2">
      <w:pPr>
        <w:numPr>
          <w:ilvl w:val="0"/>
          <w:numId w:val="6"/>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Autoría:</w:t>
      </w:r>
      <w:r w:rsidRPr="00E207A2">
        <w:rPr>
          <w:rFonts w:ascii="Arial" w:eastAsia="Times New Roman" w:hAnsi="Arial" w:cs="Arial"/>
          <w:sz w:val="24"/>
          <w:szCs w:val="24"/>
          <w:lang w:eastAsia="es-ES"/>
        </w:rPr>
        <w:t xml:space="preserve"> Fue desarrollado por la Gobernación del Caquetá (bajo la oficina de Gestión del Riesgo) con asistencia técnica de la </w:t>
      </w:r>
      <w:r w:rsidRPr="00E207A2">
        <w:rPr>
          <w:rFonts w:ascii="Arial" w:eastAsia="Times New Roman" w:hAnsi="Arial" w:cs="Arial"/>
          <w:b/>
          <w:bCs/>
          <w:sz w:val="24"/>
          <w:szCs w:val="24"/>
          <w:lang w:eastAsia="es-ES"/>
        </w:rPr>
        <w:t>UNGRD</w:t>
      </w:r>
      <w:r w:rsidRPr="00E207A2">
        <w:rPr>
          <w:rFonts w:ascii="Arial" w:eastAsia="Times New Roman" w:hAnsi="Arial" w:cs="Arial"/>
          <w:sz w:val="24"/>
          <w:szCs w:val="24"/>
          <w:lang w:eastAsia="es-ES"/>
        </w:rPr>
        <w:t xml:space="preserve"> (Unidad Nacional para la Gestión del Riesgo de Desastres).</w:t>
      </w:r>
    </w:p>
    <w:p w:rsidR="00D06BB5" w:rsidRPr="00E207A2" w:rsidRDefault="00D06BB5" w:rsidP="00E207A2">
      <w:pPr>
        <w:numPr>
          <w:ilvl w:val="0"/>
          <w:numId w:val="6"/>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Marco Normativo:</w:t>
      </w:r>
      <w:r w:rsidRPr="00E207A2">
        <w:rPr>
          <w:rFonts w:ascii="Arial" w:eastAsia="Times New Roman" w:hAnsi="Arial" w:cs="Arial"/>
          <w:sz w:val="24"/>
          <w:szCs w:val="24"/>
          <w:lang w:eastAsia="es-ES"/>
        </w:rPr>
        <w:t xml:space="preserve"> Se rige estrictamente por la </w:t>
      </w:r>
      <w:r w:rsidRPr="00E207A2">
        <w:rPr>
          <w:rFonts w:ascii="Arial" w:eastAsia="Times New Roman" w:hAnsi="Arial" w:cs="Arial"/>
          <w:b/>
          <w:bCs/>
          <w:sz w:val="24"/>
          <w:szCs w:val="24"/>
          <w:lang w:eastAsia="es-ES"/>
        </w:rPr>
        <w:t>Ley 1523 de 2012</w:t>
      </w:r>
      <w:r w:rsidRPr="00E207A2">
        <w:rPr>
          <w:rFonts w:ascii="Arial" w:eastAsia="Times New Roman" w:hAnsi="Arial" w:cs="Arial"/>
          <w:sz w:val="24"/>
          <w:szCs w:val="24"/>
          <w:lang w:eastAsia="es-ES"/>
        </w:rPr>
        <w:t xml:space="preserve">, que transformó la atención de emergencias en un proceso social de "Gestión del Riesgo" enfocado en tres procesos: </w:t>
      </w:r>
      <w:r w:rsidRPr="00E207A2">
        <w:rPr>
          <w:rFonts w:ascii="Arial" w:eastAsia="Times New Roman" w:hAnsi="Arial" w:cs="Arial"/>
          <w:b/>
          <w:bCs/>
          <w:sz w:val="24"/>
          <w:szCs w:val="24"/>
          <w:lang w:eastAsia="es-ES"/>
        </w:rPr>
        <w:t>Conocimiento, Reducción y Manejo.</w:t>
      </w:r>
    </w:p>
    <w:p w:rsidR="00D06BB5" w:rsidRDefault="00D06BB5" w:rsidP="00E207A2">
      <w:pPr>
        <w:jc w:val="both"/>
        <w:rPr>
          <w:rFonts w:ascii="Arial" w:hAnsi="Arial" w:cs="Arial"/>
          <w:sz w:val="24"/>
          <w:szCs w:val="24"/>
        </w:rPr>
      </w:pPr>
    </w:p>
    <w:p w:rsidR="00E207A2" w:rsidRPr="00E207A2" w:rsidRDefault="00E207A2" w:rsidP="00E207A2">
      <w:pPr>
        <w:jc w:val="both"/>
        <w:rPr>
          <w:rFonts w:ascii="Arial" w:hAnsi="Arial" w:cs="Arial"/>
          <w:sz w:val="24"/>
          <w:szCs w:val="24"/>
        </w:rPr>
      </w:pPr>
    </w:p>
    <w:p w:rsidR="00D06BB5" w:rsidRPr="00E207A2" w:rsidRDefault="00E207A2" w:rsidP="00E207A2">
      <w:pPr>
        <w:jc w:val="both"/>
        <w:rPr>
          <w:rFonts w:ascii="Arial" w:hAnsi="Arial" w:cs="Arial"/>
          <w:b/>
          <w:sz w:val="24"/>
          <w:szCs w:val="24"/>
        </w:rPr>
      </w:pPr>
      <w:r w:rsidRPr="00E207A2">
        <w:rPr>
          <w:rFonts w:ascii="Arial" w:hAnsi="Arial" w:cs="Arial"/>
          <w:b/>
          <w:sz w:val="24"/>
          <w:szCs w:val="24"/>
        </w:rPr>
        <w:t>DESCRIPCIÓN GENERAL:</w:t>
      </w:r>
    </w:p>
    <w:p w:rsidR="00D06BB5" w:rsidRPr="00E207A2" w:rsidRDefault="00D06BB5" w:rsidP="00E207A2">
      <w:pPr>
        <w:jc w:val="both"/>
        <w:rPr>
          <w:rFonts w:ascii="Arial" w:hAnsi="Arial" w:cs="Arial"/>
          <w:sz w:val="24"/>
          <w:szCs w:val="24"/>
        </w:rPr>
      </w:pPr>
      <w:r w:rsidRPr="00E207A2">
        <w:rPr>
          <w:rFonts w:ascii="Arial" w:hAnsi="Arial" w:cs="Arial"/>
          <w:sz w:val="24"/>
          <w:szCs w:val="24"/>
        </w:rPr>
        <w:t>La formulación del Plan Departamental de Gestión del Riesgo de Desastres, responde a la necesidad de contar con una hoja de ruta que establezca acciones estratégicas y prioridades de intervención en un horizonte de tiempo determinado.</w:t>
      </w:r>
    </w:p>
    <w:p w:rsidR="00D06BB5" w:rsidRPr="00E207A2" w:rsidRDefault="00D06BB5" w:rsidP="00E207A2">
      <w:pPr>
        <w:jc w:val="both"/>
        <w:rPr>
          <w:rFonts w:ascii="Arial" w:hAnsi="Arial" w:cs="Arial"/>
          <w:sz w:val="24"/>
          <w:szCs w:val="24"/>
        </w:rPr>
      </w:pPr>
      <w:r w:rsidRPr="00E207A2">
        <w:rPr>
          <w:rFonts w:ascii="Arial" w:hAnsi="Arial" w:cs="Arial"/>
          <w:sz w:val="24"/>
          <w:szCs w:val="24"/>
        </w:rPr>
        <w:t xml:space="preserve">Ven el potencial de las riquezas en el subsuelo y prevén que a futuro se van a presentar megaproyectos de carácter minero y energético y lo ven como un detrimento y amenaza al ecosistema y lo relacionan con el incremento de una futura migración, colonización y por ende un foco para el incremento de la violencia armada en el territorio. Con el documento del Plan de Gestión del Riesgo dan cumplimiento a la Ley 1523 de </w:t>
      </w:r>
      <w:proofErr w:type="gramStart"/>
      <w:r w:rsidRPr="00E207A2">
        <w:rPr>
          <w:rFonts w:ascii="Arial" w:hAnsi="Arial" w:cs="Arial"/>
          <w:sz w:val="24"/>
          <w:szCs w:val="24"/>
        </w:rPr>
        <w:t>Abril</w:t>
      </w:r>
      <w:proofErr w:type="gramEnd"/>
      <w:r w:rsidRPr="00E207A2">
        <w:rPr>
          <w:rFonts w:ascii="Arial" w:hAnsi="Arial" w:cs="Arial"/>
          <w:sz w:val="24"/>
          <w:szCs w:val="24"/>
        </w:rPr>
        <w:t xml:space="preserve"> de 2012.</w:t>
      </w:r>
    </w:p>
    <w:p w:rsidR="00D06BB5" w:rsidRPr="00E207A2" w:rsidRDefault="00D06BB5" w:rsidP="00E207A2">
      <w:pPr>
        <w:jc w:val="both"/>
        <w:rPr>
          <w:rFonts w:ascii="Arial" w:hAnsi="Arial" w:cs="Arial"/>
          <w:sz w:val="24"/>
          <w:szCs w:val="24"/>
        </w:rPr>
      </w:pPr>
      <w:r w:rsidRPr="00E207A2">
        <w:rPr>
          <w:rFonts w:ascii="Arial" w:hAnsi="Arial" w:cs="Arial"/>
          <w:sz w:val="24"/>
          <w:szCs w:val="24"/>
        </w:rPr>
        <w:t>Siguiendo los lineamientos del Marco SENDAI, el Plan de Gestión del Riesgo prioriza 4 acciones: Comprender el riesgo de desastres, fortalecer la gobernanza del riesgo de desastres para gestionar dicho riesgo, invertir en la reducción del riesgo de desastres para la resiliencia y aumentar la preparación en caso de desastres a fin de dar una respuesta eficaz, y reconstruir mejor en los ámbitos de la recuperación, rehabilitación y la reconstrucción.</w:t>
      </w:r>
    </w:p>
    <w:p w:rsidR="00D06BB5" w:rsidRPr="00E207A2" w:rsidRDefault="00D06BB5" w:rsidP="00E207A2">
      <w:pPr>
        <w:jc w:val="both"/>
        <w:rPr>
          <w:rFonts w:ascii="Arial" w:hAnsi="Arial" w:cs="Arial"/>
          <w:sz w:val="24"/>
          <w:szCs w:val="24"/>
        </w:rPr>
      </w:pPr>
      <w:r w:rsidRPr="00E207A2">
        <w:rPr>
          <w:rFonts w:ascii="Arial" w:hAnsi="Arial" w:cs="Arial"/>
          <w:sz w:val="24"/>
          <w:szCs w:val="24"/>
        </w:rPr>
        <w:t>El documento se alinea al CONPES de junio del 2005.</w:t>
      </w:r>
    </w:p>
    <w:p w:rsidR="00D06BB5" w:rsidRPr="00E207A2" w:rsidRDefault="00D06BB5" w:rsidP="00E207A2">
      <w:pPr>
        <w:jc w:val="both"/>
        <w:rPr>
          <w:rFonts w:ascii="Arial" w:hAnsi="Arial" w:cs="Arial"/>
          <w:sz w:val="24"/>
          <w:szCs w:val="24"/>
        </w:rPr>
      </w:pPr>
      <w:r w:rsidRPr="00E207A2">
        <w:rPr>
          <w:rFonts w:ascii="Arial" w:hAnsi="Arial" w:cs="Arial"/>
          <w:sz w:val="24"/>
          <w:szCs w:val="24"/>
        </w:rPr>
        <w:t xml:space="preserve">En el marco nacional de gestión del riesgo de desastres ésta política reconoce la corresponsabilidad de todos los actores y la indispensable participación de los ciudadanos. La formulación del Plan Departamental de Gestión del Riesgo de Desastres, responde a la necesidad de contar con una hoja de ruta que </w:t>
      </w:r>
      <w:r w:rsidRPr="00E207A2">
        <w:rPr>
          <w:rFonts w:ascii="Arial" w:hAnsi="Arial" w:cs="Arial"/>
          <w:sz w:val="24"/>
          <w:szCs w:val="24"/>
        </w:rPr>
        <w:lastRenderedPageBreak/>
        <w:t>establezca acciones estratégicas y prioridades de intervención en un horizonte de tiempo determinado.</w:t>
      </w:r>
    </w:p>
    <w:p w:rsidR="00D06BB5" w:rsidRPr="00E207A2" w:rsidRDefault="00D06BB5" w:rsidP="00E207A2">
      <w:pPr>
        <w:jc w:val="both"/>
        <w:rPr>
          <w:rFonts w:ascii="Arial" w:hAnsi="Arial" w:cs="Arial"/>
          <w:sz w:val="24"/>
          <w:szCs w:val="24"/>
        </w:rPr>
      </w:pPr>
    </w:p>
    <w:p w:rsidR="002D3268" w:rsidRPr="005B7671" w:rsidRDefault="00D06BB5" w:rsidP="00E207A2">
      <w:pPr>
        <w:jc w:val="both"/>
        <w:rPr>
          <w:rFonts w:ascii="Arial" w:hAnsi="Arial" w:cs="Arial"/>
          <w:b/>
          <w:sz w:val="24"/>
          <w:szCs w:val="24"/>
          <w:u w:val="single"/>
        </w:rPr>
      </w:pPr>
      <w:r w:rsidRPr="005B7671">
        <w:rPr>
          <w:rFonts w:ascii="Arial" w:hAnsi="Arial" w:cs="Arial"/>
          <w:b/>
          <w:sz w:val="24"/>
          <w:szCs w:val="24"/>
          <w:u w:val="single"/>
        </w:rPr>
        <w:t>P</w:t>
      </w:r>
      <w:r w:rsidR="002D3268" w:rsidRPr="005B7671">
        <w:rPr>
          <w:rFonts w:ascii="Arial" w:hAnsi="Arial" w:cs="Arial"/>
          <w:b/>
          <w:sz w:val="24"/>
          <w:szCs w:val="24"/>
          <w:u w:val="single"/>
        </w:rPr>
        <w:t>untos clave del documento:</w:t>
      </w:r>
    </w:p>
    <w:p w:rsidR="002D3268" w:rsidRPr="00E207A2" w:rsidRDefault="002D3268" w:rsidP="00E207A2">
      <w:pPr>
        <w:spacing w:line="240" w:lineRule="auto"/>
        <w:jc w:val="both"/>
        <w:rPr>
          <w:rFonts w:ascii="Arial" w:eastAsia="Times New Roman" w:hAnsi="Arial" w:cs="Arial"/>
          <w:b/>
          <w:bCs/>
          <w:sz w:val="24"/>
          <w:szCs w:val="24"/>
          <w:lang w:eastAsia="es-ES"/>
        </w:rPr>
      </w:pPr>
      <w:r w:rsidRPr="00E207A2">
        <w:rPr>
          <w:rFonts w:ascii="Arial" w:eastAsia="Times New Roman" w:hAnsi="Arial" w:cs="Arial"/>
          <w:b/>
          <w:bCs/>
          <w:sz w:val="24"/>
          <w:szCs w:val="24"/>
          <w:lang w:eastAsia="es-ES"/>
        </w:rPr>
        <w:t>1. Contexto y Justificación</w:t>
      </w:r>
    </w:p>
    <w:p w:rsidR="002D3268" w:rsidRPr="00E207A2" w:rsidRDefault="002D3268" w:rsidP="00E207A2">
      <w:pPr>
        <w:numPr>
          <w:ilvl w:val="0"/>
          <w:numId w:val="1"/>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Problemática Territorial:</w:t>
      </w:r>
      <w:r w:rsidRPr="00E207A2">
        <w:rPr>
          <w:rFonts w:ascii="Arial" w:eastAsia="Times New Roman" w:hAnsi="Arial" w:cs="Arial"/>
          <w:sz w:val="24"/>
          <w:szCs w:val="24"/>
          <w:lang w:eastAsia="es-ES"/>
        </w:rPr>
        <w:t xml:space="preserve"> El Caquetá ha tenido un proceso de colonización desordenado, marcado por conflictos armados, cultivos ilícit</w:t>
      </w:r>
      <w:r w:rsidR="00E207A2">
        <w:rPr>
          <w:rFonts w:ascii="Arial" w:eastAsia="Times New Roman" w:hAnsi="Arial" w:cs="Arial"/>
          <w:sz w:val="24"/>
          <w:szCs w:val="24"/>
          <w:lang w:eastAsia="es-ES"/>
        </w:rPr>
        <w:t>os y ganadería extensiva.</w:t>
      </w:r>
    </w:p>
    <w:p w:rsidR="002D3268" w:rsidRDefault="002D3268" w:rsidP="00E207A2">
      <w:pPr>
        <w:numPr>
          <w:ilvl w:val="0"/>
          <w:numId w:val="1"/>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Nuevos Escenarios de Riesgo:</w:t>
      </w:r>
      <w:r w:rsidRPr="00E207A2">
        <w:rPr>
          <w:rFonts w:ascii="Arial" w:eastAsia="Times New Roman" w:hAnsi="Arial" w:cs="Arial"/>
          <w:sz w:val="24"/>
          <w:szCs w:val="24"/>
          <w:lang w:eastAsia="es-ES"/>
        </w:rPr>
        <w:t xml:space="preserve"> Se advierte que el fin del conflicto armado (posconflicto) y el incremento de megaproyectos minero-energéticos generarán nuevos asentamientos y riesgos territoriales que de</w:t>
      </w:r>
      <w:r w:rsidR="00E207A2">
        <w:rPr>
          <w:rFonts w:ascii="Arial" w:eastAsia="Times New Roman" w:hAnsi="Arial" w:cs="Arial"/>
          <w:sz w:val="24"/>
          <w:szCs w:val="24"/>
          <w:lang w:eastAsia="es-ES"/>
        </w:rPr>
        <w:t>ben ser gestionados.</w:t>
      </w:r>
    </w:p>
    <w:p w:rsidR="00E207A2" w:rsidRDefault="00E207A2" w:rsidP="00E207A2">
      <w:pPr>
        <w:spacing w:after="0" w:line="240" w:lineRule="auto"/>
        <w:jc w:val="both"/>
        <w:rPr>
          <w:rFonts w:ascii="Arial" w:eastAsia="Times New Roman" w:hAnsi="Arial" w:cs="Arial"/>
          <w:sz w:val="24"/>
          <w:szCs w:val="24"/>
          <w:lang w:eastAsia="es-ES"/>
        </w:rPr>
      </w:pPr>
    </w:p>
    <w:p w:rsidR="00E207A2" w:rsidRPr="00E207A2" w:rsidRDefault="00E207A2" w:rsidP="00E207A2">
      <w:pPr>
        <w:spacing w:after="0" w:line="240" w:lineRule="auto"/>
        <w:jc w:val="both"/>
        <w:rPr>
          <w:rFonts w:ascii="Arial" w:eastAsia="Times New Roman" w:hAnsi="Arial" w:cs="Arial"/>
          <w:sz w:val="24"/>
          <w:szCs w:val="24"/>
          <w:lang w:eastAsia="es-ES"/>
        </w:rPr>
      </w:pPr>
    </w:p>
    <w:p w:rsidR="002D3268" w:rsidRPr="00E207A2" w:rsidRDefault="002D3268" w:rsidP="00E207A2">
      <w:pPr>
        <w:spacing w:line="240" w:lineRule="auto"/>
        <w:jc w:val="both"/>
        <w:rPr>
          <w:rFonts w:ascii="Arial" w:eastAsia="Times New Roman" w:hAnsi="Arial" w:cs="Arial"/>
          <w:b/>
          <w:bCs/>
          <w:sz w:val="24"/>
          <w:szCs w:val="24"/>
          <w:lang w:eastAsia="es-ES"/>
        </w:rPr>
      </w:pPr>
      <w:r w:rsidRPr="00E207A2">
        <w:rPr>
          <w:rFonts w:ascii="Arial" w:eastAsia="Times New Roman" w:hAnsi="Arial" w:cs="Arial"/>
          <w:b/>
          <w:bCs/>
          <w:sz w:val="24"/>
          <w:szCs w:val="24"/>
          <w:lang w:eastAsia="es-ES"/>
        </w:rPr>
        <w:t>2. Marco Normativo e Institucional</w:t>
      </w:r>
    </w:p>
    <w:p w:rsidR="002D3268" w:rsidRPr="00E207A2" w:rsidRDefault="002D3268" w:rsidP="00E207A2">
      <w:pPr>
        <w:numPr>
          <w:ilvl w:val="0"/>
          <w:numId w:val="2"/>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Base Legal:</w:t>
      </w:r>
      <w:r w:rsidRPr="00E207A2">
        <w:rPr>
          <w:rFonts w:ascii="Arial" w:eastAsia="Times New Roman" w:hAnsi="Arial" w:cs="Arial"/>
          <w:sz w:val="24"/>
          <w:szCs w:val="24"/>
          <w:lang w:eastAsia="es-ES"/>
        </w:rPr>
        <w:t xml:space="preserve"> El plan se fundamenta en la </w:t>
      </w:r>
      <w:r w:rsidRPr="00E207A2">
        <w:rPr>
          <w:rFonts w:ascii="Arial" w:eastAsia="Times New Roman" w:hAnsi="Arial" w:cs="Arial"/>
          <w:b/>
          <w:bCs/>
          <w:sz w:val="24"/>
          <w:szCs w:val="24"/>
          <w:lang w:eastAsia="es-ES"/>
        </w:rPr>
        <w:t>Ley 1523 de 2012</w:t>
      </w:r>
      <w:r w:rsidRPr="00E207A2">
        <w:rPr>
          <w:rFonts w:ascii="Arial" w:eastAsia="Times New Roman" w:hAnsi="Arial" w:cs="Arial"/>
          <w:sz w:val="24"/>
          <w:szCs w:val="24"/>
          <w:lang w:eastAsia="es-ES"/>
        </w:rPr>
        <w:t>, que define la política nacional de gestión de</w:t>
      </w:r>
      <w:r w:rsidR="00E207A2">
        <w:rPr>
          <w:rFonts w:ascii="Arial" w:eastAsia="Times New Roman" w:hAnsi="Arial" w:cs="Arial"/>
          <w:sz w:val="24"/>
          <w:szCs w:val="24"/>
          <w:lang w:eastAsia="es-ES"/>
        </w:rPr>
        <w:t>l riesgo en Colombia</w:t>
      </w:r>
      <w:r w:rsidRPr="00E207A2">
        <w:rPr>
          <w:rFonts w:ascii="Arial" w:eastAsia="Times New Roman" w:hAnsi="Arial" w:cs="Arial"/>
          <w:sz w:val="24"/>
          <w:szCs w:val="24"/>
          <w:lang w:eastAsia="es-ES"/>
        </w:rPr>
        <w:t>.</w:t>
      </w:r>
    </w:p>
    <w:p w:rsidR="002D3268" w:rsidRDefault="002D3268" w:rsidP="00E207A2">
      <w:pPr>
        <w:numPr>
          <w:ilvl w:val="0"/>
          <w:numId w:val="2"/>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Instancias de Coordinación:</w:t>
      </w:r>
      <w:r w:rsidRPr="00E207A2">
        <w:rPr>
          <w:rFonts w:ascii="Arial" w:eastAsia="Times New Roman" w:hAnsi="Arial" w:cs="Arial"/>
          <w:sz w:val="24"/>
          <w:szCs w:val="24"/>
          <w:lang w:eastAsia="es-ES"/>
        </w:rPr>
        <w:t xml:space="preserve"> Se describe la estructura del </w:t>
      </w:r>
      <w:r w:rsidRPr="00E207A2">
        <w:rPr>
          <w:rFonts w:ascii="Arial" w:eastAsia="Times New Roman" w:hAnsi="Arial" w:cs="Arial"/>
          <w:b/>
          <w:bCs/>
          <w:sz w:val="24"/>
          <w:szCs w:val="24"/>
          <w:lang w:eastAsia="es-ES"/>
        </w:rPr>
        <w:t>Consejo Departamental de Gestión del Riesgo de Desastres (CDGRD)</w:t>
      </w:r>
      <w:r w:rsidRPr="00E207A2">
        <w:rPr>
          <w:rFonts w:ascii="Arial" w:eastAsia="Times New Roman" w:hAnsi="Arial" w:cs="Arial"/>
          <w:sz w:val="24"/>
          <w:szCs w:val="24"/>
          <w:lang w:eastAsia="es-ES"/>
        </w:rPr>
        <w:t xml:space="preserve">, el cual incluye al Gobernador, secretarios de despacho, directores de entidades como </w:t>
      </w:r>
      <w:proofErr w:type="spellStart"/>
      <w:r w:rsidRPr="00E207A2">
        <w:rPr>
          <w:rFonts w:ascii="Arial" w:eastAsia="Times New Roman" w:hAnsi="Arial" w:cs="Arial"/>
          <w:sz w:val="24"/>
          <w:szCs w:val="24"/>
          <w:lang w:eastAsia="es-ES"/>
        </w:rPr>
        <w:t>Corpoamazonia</w:t>
      </w:r>
      <w:proofErr w:type="spellEnd"/>
      <w:r w:rsidRPr="00E207A2">
        <w:rPr>
          <w:rFonts w:ascii="Arial" w:eastAsia="Times New Roman" w:hAnsi="Arial" w:cs="Arial"/>
          <w:sz w:val="24"/>
          <w:szCs w:val="24"/>
          <w:lang w:eastAsia="es-ES"/>
        </w:rPr>
        <w:t>, y comandantes de fuerzas armadas y organismos de socorro (Cruz Roja, Bom</w:t>
      </w:r>
      <w:r w:rsidR="00E207A2">
        <w:rPr>
          <w:rFonts w:ascii="Arial" w:eastAsia="Times New Roman" w:hAnsi="Arial" w:cs="Arial"/>
          <w:sz w:val="24"/>
          <w:szCs w:val="24"/>
          <w:lang w:eastAsia="es-ES"/>
        </w:rPr>
        <w:t>beros, Defensa Civil)</w:t>
      </w:r>
      <w:r w:rsidRPr="00E207A2">
        <w:rPr>
          <w:rFonts w:ascii="Arial" w:eastAsia="Times New Roman" w:hAnsi="Arial" w:cs="Arial"/>
          <w:sz w:val="24"/>
          <w:szCs w:val="24"/>
          <w:lang w:eastAsia="es-ES"/>
        </w:rPr>
        <w:t>.</w:t>
      </w:r>
    </w:p>
    <w:p w:rsidR="00E207A2" w:rsidRDefault="00E207A2" w:rsidP="00E207A2">
      <w:pPr>
        <w:spacing w:after="0" w:line="240" w:lineRule="auto"/>
        <w:jc w:val="both"/>
        <w:rPr>
          <w:rFonts w:ascii="Arial" w:eastAsia="Times New Roman" w:hAnsi="Arial" w:cs="Arial"/>
          <w:sz w:val="24"/>
          <w:szCs w:val="24"/>
          <w:lang w:eastAsia="es-ES"/>
        </w:rPr>
      </w:pPr>
    </w:p>
    <w:p w:rsidR="00E207A2" w:rsidRPr="00E207A2" w:rsidRDefault="00E207A2" w:rsidP="00E207A2">
      <w:pPr>
        <w:spacing w:after="0" w:line="240" w:lineRule="auto"/>
        <w:jc w:val="both"/>
        <w:rPr>
          <w:rFonts w:ascii="Arial" w:eastAsia="Times New Roman" w:hAnsi="Arial" w:cs="Arial"/>
          <w:sz w:val="24"/>
          <w:szCs w:val="24"/>
          <w:lang w:eastAsia="es-ES"/>
        </w:rPr>
      </w:pPr>
    </w:p>
    <w:p w:rsidR="002D3268" w:rsidRPr="00E207A2" w:rsidRDefault="002D3268" w:rsidP="00E207A2">
      <w:pPr>
        <w:spacing w:line="240" w:lineRule="auto"/>
        <w:jc w:val="both"/>
        <w:rPr>
          <w:rFonts w:ascii="Arial" w:eastAsia="Times New Roman" w:hAnsi="Arial" w:cs="Arial"/>
          <w:b/>
          <w:bCs/>
          <w:sz w:val="24"/>
          <w:szCs w:val="24"/>
          <w:lang w:eastAsia="es-ES"/>
        </w:rPr>
      </w:pPr>
      <w:r w:rsidRPr="00E207A2">
        <w:rPr>
          <w:rFonts w:ascii="Arial" w:eastAsia="Times New Roman" w:hAnsi="Arial" w:cs="Arial"/>
          <w:b/>
          <w:bCs/>
          <w:sz w:val="24"/>
          <w:szCs w:val="24"/>
          <w:lang w:eastAsia="es-ES"/>
        </w:rPr>
        <w:t>3. Instrumentos de Planificación</w:t>
      </w:r>
    </w:p>
    <w:p w:rsidR="002D3268" w:rsidRPr="00E207A2" w:rsidRDefault="002D3268" w:rsidP="00E207A2">
      <w:pPr>
        <w:spacing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El plan se articula con diversas herramientas locales y regionales,</w:t>
      </w:r>
      <w:r w:rsidR="00E207A2">
        <w:rPr>
          <w:rFonts w:ascii="Arial" w:eastAsia="Times New Roman" w:hAnsi="Arial" w:cs="Arial"/>
          <w:sz w:val="24"/>
          <w:szCs w:val="24"/>
          <w:lang w:eastAsia="es-ES"/>
        </w:rPr>
        <w:t xml:space="preserve"> tales como</w:t>
      </w:r>
      <w:r w:rsidRPr="00E207A2">
        <w:rPr>
          <w:rFonts w:ascii="Arial" w:eastAsia="Times New Roman" w:hAnsi="Arial" w:cs="Arial"/>
          <w:sz w:val="24"/>
          <w:szCs w:val="24"/>
          <w:lang w:eastAsia="es-ES"/>
        </w:rPr>
        <w:t>:</w:t>
      </w:r>
    </w:p>
    <w:p w:rsidR="002D3268" w:rsidRPr="00E207A2" w:rsidRDefault="002D3268" w:rsidP="00E207A2">
      <w:pPr>
        <w:numPr>
          <w:ilvl w:val="0"/>
          <w:numId w:val="3"/>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Planes de Ordenamiento Territorial (POT) de los 16 municipios.</w:t>
      </w:r>
    </w:p>
    <w:p w:rsidR="002D3268" w:rsidRPr="00E207A2" w:rsidRDefault="002D3268" w:rsidP="00E207A2">
      <w:pPr>
        <w:numPr>
          <w:ilvl w:val="0"/>
          <w:numId w:val="3"/>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Planes de Ordenación y Manejo de Cuencas (POMCA) de ríos principales (Hacha, Solita, El Doncello, etc.).</w:t>
      </w:r>
    </w:p>
    <w:p w:rsidR="002D3268" w:rsidRDefault="002D3268" w:rsidP="00E207A2">
      <w:pPr>
        <w:numPr>
          <w:ilvl w:val="0"/>
          <w:numId w:val="3"/>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Estrategias de respuesta a emergencias y planes de contingencia para sequía, lluvias e incendios forestales.</w:t>
      </w:r>
    </w:p>
    <w:p w:rsidR="00E207A2" w:rsidRPr="00E207A2" w:rsidRDefault="00E207A2" w:rsidP="00E207A2">
      <w:pPr>
        <w:spacing w:after="0" w:line="240" w:lineRule="auto"/>
        <w:jc w:val="both"/>
        <w:rPr>
          <w:rFonts w:ascii="Arial" w:eastAsia="Times New Roman" w:hAnsi="Arial" w:cs="Arial"/>
          <w:sz w:val="24"/>
          <w:szCs w:val="24"/>
          <w:lang w:eastAsia="es-ES"/>
        </w:rPr>
      </w:pPr>
    </w:p>
    <w:p w:rsidR="002D3268" w:rsidRPr="00E207A2" w:rsidRDefault="002D3268" w:rsidP="00E207A2">
      <w:pPr>
        <w:spacing w:line="240" w:lineRule="auto"/>
        <w:jc w:val="both"/>
        <w:rPr>
          <w:rFonts w:ascii="Arial" w:eastAsia="Times New Roman" w:hAnsi="Arial" w:cs="Arial"/>
          <w:b/>
          <w:bCs/>
          <w:sz w:val="24"/>
          <w:szCs w:val="24"/>
          <w:lang w:eastAsia="es-ES"/>
        </w:rPr>
      </w:pPr>
      <w:r w:rsidRPr="00E207A2">
        <w:rPr>
          <w:rFonts w:ascii="Arial" w:eastAsia="Times New Roman" w:hAnsi="Arial" w:cs="Arial"/>
          <w:b/>
          <w:bCs/>
          <w:sz w:val="24"/>
          <w:szCs w:val="24"/>
          <w:lang w:eastAsia="es-ES"/>
        </w:rPr>
        <w:t>4. Diagnóstico y Escenarios de Riesgo</w:t>
      </w:r>
    </w:p>
    <w:p w:rsidR="002D3268" w:rsidRPr="00E207A2" w:rsidRDefault="002D3268" w:rsidP="00E207A2">
      <w:pPr>
        <w:spacing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 xml:space="preserve">El documento identifica factores críticos </w:t>
      </w:r>
      <w:r w:rsidR="00E207A2">
        <w:rPr>
          <w:rFonts w:ascii="Arial" w:eastAsia="Times New Roman" w:hAnsi="Arial" w:cs="Arial"/>
          <w:sz w:val="24"/>
          <w:szCs w:val="24"/>
          <w:lang w:eastAsia="es-ES"/>
        </w:rPr>
        <w:t>para el departamento</w:t>
      </w:r>
      <w:r w:rsidRPr="00E207A2">
        <w:rPr>
          <w:rFonts w:ascii="Arial" w:eastAsia="Times New Roman" w:hAnsi="Arial" w:cs="Arial"/>
          <w:sz w:val="24"/>
          <w:szCs w:val="24"/>
          <w:lang w:eastAsia="es-ES"/>
        </w:rPr>
        <w:t>:</w:t>
      </w:r>
    </w:p>
    <w:p w:rsidR="002D3268" w:rsidRPr="00E207A2" w:rsidRDefault="002D3268" w:rsidP="00E207A2">
      <w:pPr>
        <w:numPr>
          <w:ilvl w:val="0"/>
          <w:numId w:val="4"/>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Aspectos Físicos:</w:t>
      </w:r>
      <w:r w:rsidRPr="00E207A2">
        <w:rPr>
          <w:rFonts w:ascii="Arial" w:eastAsia="Times New Roman" w:hAnsi="Arial" w:cs="Arial"/>
          <w:sz w:val="24"/>
          <w:szCs w:val="24"/>
          <w:lang w:eastAsia="es-ES"/>
        </w:rPr>
        <w:t xml:space="preserve"> Análisis de geología, hidrografía y variables climatológicas.</w:t>
      </w:r>
    </w:p>
    <w:p w:rsidR="002D3268" w:rsidRPr="00E207A2" w:rsidRDefault="002D3268" w:rsidP="00E207A2">
      <w:pPr>
        <w:numPr>
          <w:ilvl w:val="0"/>
          <w:numId w:val="4"/>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Amenazas Priorizadas:</w:t>
      </w:r>
      <w:r w:rsidRPr="00E207A2">
        <w:rPr>
          <w:rFonts w:ascii="Arial" w:eastAsia="Times New Roman" w:hAnsi="Arial" w:cs="Arial"/>
          <w:sz w:val="24"/>
          <w:szCs w:val="24"/>
          <w:lang w:eastAsia="es-ES"/>
        </w:rPr>
        <w:t xml:space="preserve"> Se destacan las </w:t>
      </w:r>
      <w:r w:rsidRPr="00E207A2">
        <w:rPr>
          <w:rFonts w:ascii="Arial" w:eastAsia="Times New Roman" w:hAnsi="Arial" w:cs="Arial"/>
          <w:b/>
          <w:bCs/>
          <w:sz w:val="24"/>
          <w:szCs w:val="24"/>
          <w:lang w:eastAsia="es-ES"/>
        </w:rPr>
        <w:t>inundaciones</w:t>
      </w:r>
      <w:r w:rsidRPr="00E207A2">
        <w:rPr>
          <w:rFonts w:ascii="Arial" w:eastAsia="Times New Roman" w:hAnsi="Arial" w:cs="Arial"/>
          <w:sz w:val="24"/>
          <w:szCs w:val="24"/>
          <w:lang w:eastAsia="es-ES"/>
        </w:rPr>
        <w:t xml:space="preserve"> (subregiones norte, sur y centro) y las </w:t>
      </w:r>
      <w:r w:rsidRPr="00E207A2">
        <w:rPr>
          <w:rFonts w:ascii="Arial" w:eastAsia="Times New Roman" w:hAnsi="Arial" w:cs="Arial"/>
          <w:b/>
          <w:bCs/>
          <w:sz w:val="24"/>
          <w:szCs w:val="24"/>
          <w:lang w:eastAsia="es-ES"/>
        </w:rPr>
        <w:t>avenidas torrenciales</w:t>
      </w:r>
      <w:r w:rsidRPr="00E207A2">
        <w:rPr>
          <w:rFonts w:ascii="Arial" w:eastAsia="Times New Roman" w:hAnsi="Arial" w:cs="Arial"/>
          <w:sz w:val="24"/>
          <w:szCs w:val="24"/>
          <w:lang w:eastAsia="es-ES"/>
        </w:rPr>
        <w:t>.</w:t>
      </w:r>
    </w:p>
    <w:p w:rsidR="00E207A2" w:rsidRDefault="002D3268" w:rsidP="00E207A2">
      <w:pPr>
        <w:numPr>
          <w:ilvl w:val="0"/>
          <w:numId w:val="4"/>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Vulnerabilidad:</w:t>
      </w:r>
      <w:r w:rsidRPr="00E207A2">
        <w:rPr>
          <w:rFonts w:ascii="Arial" w:eastAsia="Times New Roman" w:hAnsi="Arial" w:cs="Arial"/>
          <w:sz w:val="24"/>
          <w:szCs w:val="24"/>
          <w:lang w:eastAsia="es-ES"/>
        </w:rPr>
        <w:t xml:space="preserve"> Evaluación de factores sociales como la distribución de la población, presencia de comunidades indígenas y niveles de pobr</w:t>
      </w:r>
      <w:r w:rsidR="00E207A2">
        <w:rPr>
          <w:rFonts w:ascii="Arial" w:eastAsia="Times New Roman" w:hAnsi="Arial" w:cs="Arial"/>
          <w:sz w:val="24"/>
          <w:szCs w:val="24"/>
          <w:lang w:eastAsia="es-ES"/>
        </w:rPr>
        <w:t>eza</w:t>
      </w:r>
      <w:r w:rsidRPr="00E207A2">
        <w:rPr>
          <w:rFonts w:ascii="Arial" w:eastAsia="Times New Roman" w:hAnsi="Arial" w:cs="Arial"/>
          <w:sz w:val="24"/>
          <w:szCs w:val="24"/>
          <w:lang w:eastAsia="es-ES"/>
        </w:rPr>
        <w:t>.</w:t>
      </w:r>
    </w:p>
    <w:p w:rsidR="00E207A2" w:rsidRDefault="00E207A2" w:rsidP="00E207A2">
      <w:pPr>
        <w:spacing w:after="0" w:line="240" w:lineRule="auto"/>
        <w:jc w:val="both"/>
        <w:rPr>
          <w:rFonts w:ascii="Arial" w:eastAsia="Times New Roman" w:hAnsi="Arial" w:cs="Arial"/>
          <w:b/>
          <w:bCs/>
          <w:sz w:val="24"/>
          <w:szCs w:val="24"/>
          <w:lang w:eastAsia="es-ES"/>
        </w:rPr>
      </w:pPr>
    </w:p>
    <w:p w:rsidR="00E207A2" w:rsidRPr="00E207A2" w:rsidRDefault="00E207A2" w:rsidP="00E207A2">
      <w:pPr>
        <w:spacing w:after="0" w:line="240" w:lineRule="auto"/>
        <w:jc w:val="both"/>
        <w:rPr>
          <w:rFonts w:ascii="Arial" w:eastAsia="Times New Roman" w:hAnsi="Arial" w:cs="Arial"/>
          <w:sz w:val="24"/>
          <w:szCs w:val="24"/>
          <w:lang w:eastAsia="es-ES"/>
        </w:rPr>
      </w:pPr>
    </w:p>
    <w:p w:rsidR="002D3268" w:rsidRPr="00E207A2" w:rsidRDefault="002D3268" w:rsidP="00E207A2">
      <w:pPr>
        <w:spacing w:line="240" w:lineRule="auto"/>
        <w:jc w:val="both"/>
        <w:rPr>
          <w:rFonts w:ascii="Arial" w:eastAsia="Times New Roman" w:hAnsi="Arial" w:cs="Arial"/>
          <w:b/>
          <w:bCs/>
          <w:sz w:val="24"/>
          <w:szCs w:val="24"/>
          <w:lang w:eastAsia="es-ES"/>
        </w:rPr>
      </w:pPr>
      <w:r w:rsidRPr="00E207A2">
        <w:rPr>
          <w:rFonts w:ascii="Arial" w:eastAsia="Times New Roman" w:hAnsi="Arial" w:cs="Arial"/>
          <w:b/>
          <w:bCs/>
          <w:sz w:val="24"/>
          <w:szCs w:val="24"/>
          <w:lang w:eastAsia="es-ES"/>
        </w:rPr>
        <w:t>5. Estrategias y Acción</w:t>
      </w:r>
    </w:p>
    <w:p w:rsidR="002D3268" w:rsidRPr="00E207A2" w:rsidRDefault="002D3268" w:rsidP="00E207A2">
      <w:pPr>
        <w:spacing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El plan propone cuatro prioridades de acción alineadas co</w:t>
      </w:r>
      <w:r w:rsidR="00E207A2">
        <w:rPr>
          <w:rFonts w:ascii="Arial" w:eastAsia="Times New Roman" w:hAnsi="Arial" w:cs="Arial"/>
          <w:sz w:val="24"/>
          <w:szCs w:val="24"/>
          <w:lang w:eastAsia="es-ES"/>
        </w:rPr>
        <w:t>n el Marco de Sendai</w:t>
      </w:r>
      <w:r w:rsidRPr="00E207A2">
        <w:rPr>
          <w:rFonts w:ascii="Arial" w:eastAsia="Times New Roman" w:hAnsi="Arial" w:cs="Arial"/>
          <w:sz w:val="24"/>
          <w:szCs w:val="24"/>
          <w:lang w:eastAsia="es-ES"/>
        </w:rPr>
        <w:t>:</w:t>
      </w:r>
    </w:p>
    <w:p w:rsidR="002D3268" w:rsidRPr="00E207A2" w:rsidRDefault="002D3268" w:rsidP="00E207A2">
      <w:pPr>
        <w:numPr>
          <w:ilvl w:val="0"/>
          <w:numId w:val="5"/>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Comprender el riesgo</w:t>
      </w:r>
      <w:r w:rsidRPr="00E207A2">
        <w:rPr>
          <w:rFonts w:ascii="Arial" w:eastAsia="Times New Roman" w:hAnsi="Arial" w:cs="Arial"/>
          <w:sz w:val="24"/>
          <w:szCs w:val="24"/>
          <w:lang w:eastAsia="es-ES"/>
        </w:rPr>
        <w:t xml:space="preserve"> en todas sus dimensiones.</w:t>
      </w:r>
    </w:p>
    <w:p w:rsidR="002D3268" w:rsidRPr="00E207A2" w:rsidRDefault="002D3268" w:rsidP="00E207A2">
      <w:pPr>
        <w:numPr>
          <w:ilvl w:val="0"/>
          <w:numId w:val="5"/>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Fortalecer la gobernanza</w:t>
      </w:r>
      <w:r w:rsidRPr="00E207A2">
        <w:rPr>
          <w:rFonts w:ascii="Arial" w:eastAsia="Times New Roman" w:hAnsi="Arial" w:cs="Arial"/>
          <w:sz w:val="24"/>
          <w:szCs w:val="24"/>
          <w:lang w:eastAsia="es-ES"/>
        </w:rPr>
        <w:t xml:space="preserve"> para una gestión eficaz.</w:t>
      </w:r>
    </w:p>
    <w:p w:rsidR="002D3268" w:rsidRPr="00E207A2" w:rsidRDefault="002D3268" w:rsidP="00E207A2">
      <w:pPr>
        <w:numPr>
          <w:ilvl w:val="0"/>
          <w:numId w:val="5"/>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lastRenderedPageBreak/>
        <w:t>Invertir en resiliencia</w:t>
      </w:r>
      <w:r w:rsidRPr="00E207A2">
        <w:rPr>
          <w:rFonts w:ascii="Arial" w:eastAsia="Times New Roman" w:hAnsi="Arial" w:cs="Arial"/>
          <w:sz w:val="24"/>
          <w:szCs w:val="24"/>
          <w:lang w:eastAsia="es-ES"/>
        </w:rPr>
        <w:t xml:space="preserve"> (medidas estructurales y no estructurales).</w:t>
      </w:r>
    </w:p>
    <w:p w:rsidR="00D06BB5" w:rsidRPr="00E207A2" w:rsidRDefault="002D3268" w:rsidP="00E207A2">
      <w:pPr>
        <w:numPr>
          <w:ilvl w:val="0"/>
          <w:numId w:val="5"/>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Aumentar la preparación</w:t>
      </w:r>
      <w:r w:rsidRPr="00E207A2">
        <w:rPr>
          <w:rFonts w:ascii="Arial" w:eastAsia="Times New Roman" w:hAnsi="Arial" w:cs="Arial"/>
          <w:sz w:val="24"/>
          <w:szCs w:val="24"/>
          <w:lang w:eastAsia="es-ES"/>
        </w:rPr>
        <w:t xml:space="preserve"> para "reconstruir mejor" tras un desastre.</w:t>
      </w:r>
    </w:p>
    <w:p w:rsidR="002D3268" w:rsidRPr="00E207A2" w:rsidRDefault="002D3268" w:rsidP="00E207A2">
      <w:pPr>
        <w:spacing w:line="240" w:lineRule="auto"/>
        <w:jc w:val="both"/>
        <w:rPr>
          <w:rFonts w:ascii="Arial" w:eastAsia="Times New Roman" w:hAnsi="Arial" w:cs="Arial"/>
          <w:b/>
          <w:bCs/>
          <w:sz w:val="24"/>
          <w:szCs w:val="24"/>
          <w:lang w:eastAsia="es-ES"/>
        </w:rPr>
      </w:pPr>
      <w:r w:rsidRPr="00E207A2">
        <w:rPr>
          <w:rFonts w:ascii="Arial" w:eastAsia="Times New Roman" w:hAnsi="Arial" w:cs="Arial"/>
          <w:b/>
          <w:bCs/>
          <w:sz w:val="24"/>
          <w:szCs w:val="24"/>
          <w:lang w:eastAsia="es-ES"/>
        </w:rPr>
        <w:t>2. Ejes Temáticos Principales</w:t>
      </w:r>
    </w:p>
    <w:p w:rsidR="002D3268" w:rsidRPr="00E207A2" w:rsidRDefault="002D3268" w:rsidP="00E207A2">
      <w:pPr>
        <w:spacing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El plan organiza la información en cinco grandes capítulos:</w:t>
      </w:r>
    </w:p>
    <w:p w:rsidR="002D3268" w:rsidRPr="00E207A2" w:rsidRDefault="002D3268" w:rsidP="00E207A2">
      <w:pPr>
        <w:numPr>
          <w:ilvl w:val="0"/>
          <w:numId w:val="7"/>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Capítulo 1 (Contexto Global y Nacional):</w:t>
      </w:r>
      <w:r w:rsidRPr="00E207A2">
        <w:rPr>
          <w:rFonts w:ascii="Arial" w:eastAsia="Times New Roman" w:hAnsi="Arial" w:cs="Arial"/>
          <w:sz w:val="24"/>
          <w:szCs w:val="24"/>
          <w:lang w:eastAsia="es-ES"/>
        </w:rPr>
        <w:t xml:space="preserve"> Vincula al Caquetá con acuerdos internacionales como el </w:t>
      </w:r>
      <w:r w:rsidRPr="00E207A2">
        <w:rPr>
          <w:rFonts w:ascii="Arial" w:eastAsia="Times New Roman" w:hAnsi="Arial" w:cs="Arial"/>
          <w:b/>
          <w:bCs/>
          <w:sz w:val="24"/>
          <w:szCs w:val="24"/>
          <w:lang w:eastAsia="es-ES"/>
        </w:rPr>
        <w:t>Marco de Sendai</w:t>
      </w:r>
      <w:r w:rsidRPr="00E207A2">
        <w:rPr>
          <w:rFonts w:ascii="Arial" w:eastAsia="Times New Roman" w:hAnsi="Arial" w:cs="Arial"/>
          <w:sz w:val="24"/>
          <w:szCs w:val="24"/>
          <w:lang w:eastAsia="es-ES"/>
        </w:rPr>
        <w:t xml:space="preserve"> y el </w:t>
      </w:r>
      <w:r w:rsidRPr="00E207A2">
        <w:rPr>
          <w:rFonts w:ascii="Arial" w:eastAsia="Times New Roman" w:hAnsi="Arial" w:cs="Arial"/>
          <w:b/>
          <w:bCs/>
          <w:sz w:val="24"/>
          <w:szCs w:val="24"/>
          <w:lang w:eastAsia="es-ES"/>
        </w:rPr>
        <w:t>Acuerdo de París</w:t>
      </w:r>
      <w:r w:rsidRPr="00E207A2">
        <w:rPr>
          <w:rFonts w:ascii="Arial" w:eastAsia="Times New Roman" w:hAnsi="Arial" w:cs="Arial"/>
          <w:sz w:val="24"/>
          <w:szCs w:val="24"/>
          <w:lang w:eastAsia="es-ES"/>
        </w:rPr>
        <w:t>, reconociendo que el cambio climático afecta directamente la frecuencia de desastres en la región.</w:t>
      </w:r>
    </w:p>
    <w:p w:rsidR="002D3268" w:rsidRPr="00E207A2" w:rsidRDefault="002D3268" w:rsidP="00E207A2">
      <w:pPr>
        <w:numPr>
          <w:ilvl w:val="0"/>
          <w:numId w:val="7"/>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Capítulo 2 (Caracterización del Territorio):</w:t>
      </w:r>
      <w:r w:rsidRPr="00E207A2">
        <w:rPr>
          <w:rFonts w:ascii="Arial" w:eastAsia="Times New Roman" w:hAnsi="Arial" w:cs="Arial"/>
          <w:sz w:val="24"/>
          <w:szCs w:val="24"/>
          <w:lang w:eastAsia="es-ES"/>
        </w:rPr>
        <w:t xml:space="preserve"> Realiza un diagnóstico físico y social. Analiza desde la geología y la hidrografía hasta la infraestructura de salud y educación en los </w:t>
      </w:r>
      <w:r w:rsidRPr="00E207A2">
        <w:rPr>
          <w:rFonts w:ascii="Arial" w:eastAsia="Times New Roman" w:hAnsi="Arial" w:cs="Arial"/>
          <w:b/>
          <w:bCs/>
          <w:sz w:val="24"/>
          <w:szCs w:val="24"/>
          <w:lang w:eastAsia="es-ES"/>
        </w:rPr>
        <w:t>16 municipios</w:t>
      </w:r>
      <w:r w:rsidRPr="00E207A2">
        <w:rPr>
          <w:rFonts w:ascii="Arial" w:eastAsia="Times New Roman" w:hAnsi="Arial" w:cs="Arial"/>
          <w:sz w:val="24"/>
          <w:szCs w:val="24"/>
          <w:lang w:eastAsia="es-ES"/>
        </w:rPr>
        <w:t>.</w:t>
      </w:r>
    </w:p>
    <w:p w:rsidR="002D3268" w:rsidRPr="00E207A2" w:rsidRDefault="002D3268" w:rsidP="00E207A2">
      <w:pPr>
        <w:numPr>
          <w:ilvl w:val="0"/>
          <w:numId w:val="7"/>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Capítulo 3 (Análisis de Riesgos):</w:t>
      </w:r>
      <w:r w:rsidRPr="00E207A2">
        <w:rPr>
          <w:rFonts w:ascii="Arial" w:eastAsia="Times New Roman" w:hAnsi="Arial" w:cs="Arial"/>
          <w:sz w:val="24"/>
          <w:szCs w:val="24"/>
          <w:lang w:eastAsia="es-ES"/>
        </w:rPr>
        <w:t xml:space="preserve"> Identifica y prioriza los peligros. Se enfoca especialmente en </w:t>
      </w:r>
      <w:r w:rsidRPr="00E207A2">
        <w:rPr>
          <w:rFonts w:ascii="Arial" w:eastAsia="Times New Roman" w:hAnsi="Arial" w:cs="Arial"/>
          <w:b/>
          <w:bCs/>
          <w:sz w:val="24"/>
          <w:szCs w:val="24"/>
          <w:lang w:eastAsia="es-ES"/>
        </w:rPr>
        <w:t>inundaciones y avenidas torrenciales</w:t>
      </w:r>
      <w:r w:rsidRPr="00E207A2">
        <w:rPr>
          <w:rFonts w:ascii="Arial" w:eastAsia="Times New Roman" w:hAnsi="Arial" w:cs="Arial"/>
          <w:sz w:val="24"/>
          <w:szCs w:val="24"/>
          <w:lang w:eastAsia="es-ES"/>
        </w:rPr>
        <w:t>, evaluando qué tan vulnerables son las familias según su nivel de ingresos y ubicación.</w:t>
      </w:r>
    </w:p>
    <w:p w:rsidR="002D3268" w:rsidRPr="00E207A2" w:rsidRDefault="002D3268" w:rsidP="00E207A2">
      <w:pPr>
        <w:numPr>
          <w:ilvl w:val="0"/>
          <w:numId w:val="7"/>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Capítulo 4 (Financiamiento):</w:t>
      </w:r>
      <w:r w:rsidRPr="00E207A2">
        <w:rPr>
          <w:rFonts w:ascii="Arial" w:eastAsia="Times New Roman" w:hAnsi="Arial" w:cs="Arial"/>
          <w:sz w:val="24"/>
          <w:szCs w:val="24"/>
          <w:lang w:eastAsia="es-ES"/>
        </w:rPr>
        <w:t xml:space="preserve"> Explica cómo se consiguen los recursos para las obras de mitigación y la atención de crisis.</w:t>
      </w:r>
    </w:p>
    <w:p w:rsidR="00E207A2" w:rsidRPr="00E207A2" w:rsidRDefault="002D3268" w:rsidP="003C7E7C">
      <w:pPr>
        <w:numPr>
          <w:ilvl w:val="0"/>
          <w:numId w:val="7"/>
        </w:numPr>
        <w:spacing w:after="0" w:line="240" w:lineRule="auto"/>
        <w:ind w:left="0"/>
        <w:jc w:val="both"/>
        <w:rPr>
          <w:rFonts w:ascii="Arial" w:eastAsia="Times New Roman" w:hAnsi="Arial" w:cs="Arial"/>
          <w:b/>
          <w:bCs/>
          <w:sz w:val="24"/>
          <w:szCs w:val="24"/>
          <w:lang w:eastAsia="es-ES"/>
        </w:rPr>
      </w:pPr>
      <w:r w:rsidRPr="00E207A2">
        <w:rPr>
          <w:rFonts w:ascii="Arial" w:eastAsia="Times New Roman" w:hAnsi="Arial" w:cs="Arial"/>
          <w:b/>
          <w:bCs/>
          <w:sz w:val="24"/>
          <w:szCs w:val="24"/>
          <w:lang w:eastAsia="es-ES"/>
        </w:rPr>
        <w:t>Capítulo 5 (Prospectiva y Seguimiento):</w:t>
      </w:r>
      <w:r w:rsidRPr="00E207A2">
        <w:rPr>
          <w:rFonts w:ascii="Arial" w:eastAsia="Times New Roman" w:hAnsi="Arial" w:cs="Arial"/>
          <w:sz w:val="24"/>
          <w:szCs w:val="24"/>
          <w:lang w:eastAsia="es-ES"/>
        </w:rPr>
        <w:t xml:space="preserve"> Analiza retos futuros como la </w:t>
      </w:r>
      <w:r w:rsidRPr="00E207A2">
        <w:rPr>
          <w:rFonts w:ascii="Arial" w:eastAsia="Times New Roman" w:hAnsi="Arial" w:cs="Arial"/>
          <w:b/>
          <w:bCs/>
          <w:sz w:val="24"/>
          <w:szCs w:val="24"/>
          <w:lang w:eastAsia="es-ES"/>
        </w:rPr>
        <w:t>deforestación</w:t>
      </w:r>
      <w:r w:rsidRPr="00E207A2">
        <w:rPr>
          <w:rFonts w:ascii="Arial" w:eastAsia="Times New Roman" w:hAnsi="Arial" w:cs="Arial"/>
          <w:sz w:val="24"/>
          <w:szCs w:val="24"/>
          <w:lang w:eastAsia="es-ES"/>
        </w:rPr>
        <w:t>, la minería y los cambios territoriales tras el proceso de paz (posconflicto).</w:t>
      </w:r>
    </w:p>
    <w:p w:rsidR="00E207A2" w:rsidRDefault="00E207A2" w:rsidP="00E207A2">
      <w:pPr>
        <w:spacing w:after="0" w:line="240" w:lineRule="auto"/>
        <w:jc w:val="both"/>
        <w:rPr>
          <w:rFonts w:ascii="Arial" w:eastAsia="Times New Roman" w:hAnsi="Arial" w:cs="Arial"/>
          <w:b/>
          <w:bCs/>
          <w:sz w:val="24"/>
          <w:szCs w:val="24"/>
          <w:lang w:eastAsia="es-ES"/>
        </w:rPr>
      </w:pPr>
    </w:p>
    <w:p w:rsidR="00E207A2" w:rsidRDefault="00E207A2" w:rsidP="00E207A2">
      <w:pPr>
        <w:spacing w:after="0" w:line="240" w:lineRule="auto"/>
        <w:jc w:val="both"/>
        <w:rPr>
          <w:rFonts w:ascii="Arial" w:eastAsia="Times New Roman" w:hAnsi="Arial" w:cs="Arial"/>
          <w:b/>
          <w:bCs/>
          <w:sz w:val="24"/>
          <w:szCs w:val="24"/>
          <w:lang w:eastAsia="es-ES"/>
        </w:rPr>
      </w:pPr>
    </w:p>
    <w:p w:rsidR="002D3268" w:rsidRPr="00E207A2" w:rsidRDefault="002D3268" w:rsidP="00E207A2">
      <w:pPr>
        <w:spacing w:after="0" w:line="240" w:lineRule="auto"/>
        <w:jc w:val="both"/>
        <w:rPr>
          <w:rFonts w:ascii="Arial" w:eastAsia="Times New Roman" w:hAnsi="Arial" w:cs="Arial"/>
          <w:b/>
          <w:bCs/>
          <w:sz w:val="24"/>
          <w:szCs w:val="24"/>
          <w:lang w:eastAsia="es-ES"/>
        </w:rPr>
      </w:pPr>
      <w:r w:rsidRPr="00E207A2">
        <w:rPr>
          <w:rFonts w:ascii="Arial" w:eastAsia="Times New Roman" w:hAnsi="Arial" w:cs="Arial"/>
          <w:b/>
          <w:bCs/>
          <w:sz w:val="24"/>
          <w:szCs w:val="24"/>
          <w:lang w:eastAsia="es-ES"/>
        </w:rPr>
        <w:t>3. Actores Involucrados</w:t>
      </w:r>
    </w:p>
    <w:p w:rsidR="002D3268" w:rsidRPr="00E207A2" w:rsidRDefault="002D3268" w:rsidP="00E207A2">
      <w:pPr>
        <w:spacing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El documento describe un sistema colaborativo donde no solo participa el gobierno, sino también:</w:t>
      </w:r>
    </w:p>
    <w:p w:rsidR="002D3268" w:rsidRPr="00E207A2" w:rsidRDefault="002D3268" w:rsidP="00E207A2">
      <w:pPr>
        <w:numPr>
          <w:ilvl w:val="0"/>
          <w:numId w:val="8"/>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Organismos de Socorro:</w:t>
      </w:r>
      <w:r w:rsidRPr="00E207A2">
        <w:rPr>
          <w:rFonts w:ascii="Arial" w:eastAsia="Times New Roman" w:hAnsi="Arial" w:cs="Arial"/>
          <w:sz w:val="24"/>
          <w:szCs w:val="24"/>
          <w:lang w:eastAsia="es-ES"/>
        </w:rPr>
        <w:t xml:space="preserve"> Cruz Roja, Defensa Civil y Bomberos.</w:t>
      </w:r>
    </w:p>
    <w:p w:rsidR="002D3268" w:rsidRPr="00E207A2" w:rsidRDefault="002D3268" w:rsidP="00E207A2">
      <w:pPr>
        <w:numPr>
          <w:ilvl w:val="0"/>
          <w:numId w:val="8"/>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Fuerzas Militares:</w:t>
      </w:r>
      <w:r w:rsidRPr="00E207A2">
        <w:rPr>
          <w:rFonts w:ascii="Arial" w:eastAsia="Times New Roman" w:hAnsi="Arial" w:cs="Arial"/>
          <w:sz w:val="24"/>
          <w:szCs w:val="24"/>
          <w:lang w:eastAsia="es-ES"/>
        </w:rPr>
        <w:t xml:space="preserve"> Batallones de ingenieros y policía.</w:t>
      </w:r>
    </w:p>
    <w:p w:rsidR="002D3268" w:rsidRPr="00E207A2" w:rsidRDefault="002D3268" w:rsidP="00E207A2">
      <w:pPr>
        <w:numPr>
          <w:ilvl w:val="0"/>
          <w:numId w:val="8"/>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Entidades Ambientales:</w:t>
      </w:r>
      <w:r w:rsidRPr="00E207A2">
        <w:rPr>
          <w:rFonts w:ascii="Arial" w:eastAsia="Times New Roman" w:hAnsi="Arial" w:cs="Arial"/>
          <w:sz w:val="24"/>
          <w:szCs w:val="24"/>
          <w:lang w:eastAsia="es-ES"/>
        </w:rPr>
        <w:t xml:space="preserve"> CORPOAMAZONIA.</w:t>
      </w:r>
    </w:p>
    <w:p w:rsidR="002D3268" w:rsidRDefault="002D3268" w:rsidP="00E207A2">
      <w:pPr>
        <w:numPr>
          <w:ilvl w:val="0"/>
          <w:numId w:val="8"/>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Academia:</w:t>
      </w:r>
      <w:r w:rsidRPr="00E207A2">
        <w:rPr>
          <w:rFonts w:ascii="Arial" w:eastAsia="Times New Roman" w:hAnsi="Arial" w:cs="Arial"/>
          <w:sz w:val="24"/>
          <w:szCs w:val="24"/>
          <w:lang w:eastAsia="es-ES"/>
        </w:rPr>
        <w:t xml:space="preserve"> Universidad de la Amazonia.</w:t>
      </w:r>
    </w:p>
    <w:p w:rsidR="00E207A2" w:rsidRDefault="00E207A2" w:rsidP="00E207A2">
      <w:pPr>
        <w:spacing w:after="0" w:line="240" w:lineRule="auto"/>
        <w:jc w:val="both"/>
        <w:rPr>
          <w:rFonts w:ascii="Arial" w:eastAsia="Times New Roman" w:hAnsi="Arial" w:cs="Arial"/>
          <w:b/>
          <w:bCs/>
          <w:sz w:val="24"/>
          <w:szCs w:val="24"/>
          <w:lang w:eastAsia="es-ES"/>
        </w:rPr>
      </w:pPr>
    </w:p>
    <w:p w:rsidR="00E207A2" w:rsidRPr="00E207A2" w:rsidRDefault="00E207A2" w:rsidP="00E207A2">
      <w:pPr>
        <w:spacing w:after="0" w:line="240" w:lineRule="auto"/>
        <w:jc w:val="both"/>
        <w:rPr>
          <w:rFonts w:ascii="Arial" w:eastAsia="Times New Roman" w:hAnsi="Arial" w:cs="Arial"/>
          <w:sz w:val="24"/>
          <w:szCs w:val="24"/>
          <w:lang w:eastAsia="es-ES"/>
        </w:rPr>
      </w:pPr>
    </w:p>
    <w:p w:rsidR="002D3268" w:rsidRPr="00E207A2" w:rsidRDefault="002D3268" w:rsidP="00E207A2">
      <w:pPr>
        <w:spacing w:line="240" w:lineRule="auto"/>
        <w:jc w:val="both"/>
        <w:rPr>
          <w:rFonts w:ascii="Arial" w:eastAsia="Times New Roman" w:hAnsi="Arial" w:cs="Arial"/>
          <w:b/>
          <w:bCs/>
          <w:sz w:val="24"/>
          <w:szCs w:val="24"/>
          <w:lang w:eastAsia="es-ES"/>
        </w:rPr>
      </w:pPr>
      <w:r w:rsidRPr="00E207A2">
        <w:rPr>
          <w:rFonts w:ascii="Arial" w:eastAsia="Times New Roman" w:hAnsi="Arial" w:cs="Arial"/>
          <w:b/>
          <w:bCs/>
          <w:sz w:val="24"/>
          <w:szCs w:val="24"/>
          <w:lang w:eastAsia="es-ES"/>
        </w:rPr>
        <w:t>4. Enfoque Diferencial</w:t>
      </w:r>
    </w:p>
    <w:p w:rsidR="002D3268" w:rsidRDefault="002D3268" w:rsidP="005B7671">
      <w:pPr>
        <w:spacing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 xml:space="preserve">A diferencia de planes antiguos, este documento destaca la necesidad de proteger áreas con </w:t>
      </w:r>
      <w:r w:rsidRPr="00E207A2">
        <w:rPr>
          <w:rFonts w:ascii="Arial" w:eastAsia="Times New Roman" w:hAnsi="Arial" w:cs="Arial"/>
          <w:b/>
          <w:bCs/>
          <w:sz w:val="24"/>
          <w:szCs w:val="24"/>
          <w:lang w:eastAsia="es-ES"/>
        </w:rPr>
        <w:t>población indígena</w:t>
      </w:r>
      <w:r w:rsidRPr="00E207A2">
        <w:rPr>
          <w:rFonts w:ascii="Arial" w:eastAsia="Times New Roman" w:hAnsi="Arial" w:cs="Arial"/>
          <w:sz w:val="24"/>
          <w:szCs w:val="24"/>
          <w:lang w:eastAsia="es-ES"/>
        </w:rPr>
        <w:t xml:space="preserve">, atender los procesos de </w:t>
      </w:r>
      <w:r w:rsidRPr="00E207A2">
        <w:rPr>
          <w:rFonts w:ascii="Arial" w:eastAsia="Times New Roman" w:hAnsi="Arial" w:cs="Arial"/>
          <w:b/>
          <w:bCs/>
          <w:sz w:val="24"/>
          <w:szCs w:val="24"/>
          <w:lang w:eastAsia="es-ES"/>
        </w:rPr>
        <w:t>migración</w:t>
      </w:r>
      <w:r w:rsidRPr="00E207A2">
        <w:rPr>
          <w:rFonts w:ascii="Arial" w:eastAsia="Times New Roman" w:hAnsi="Arial" w:cs="Arial"/>
          <w:sz w:val="24"/>
          <w:szCs w:val="24"/>
          <w:lang w:eastAsia="es-ES"/>
        </w:rPr>
        <w:t xml:space="preserve"> y mejorar la resiliencia de los asentamientos informales (barrios marginales) que suelen ser los más afectados por desastres naturales.</w:t>
      </w:r>
    </w:p>
    <w:p w:rsidR="005B7671" w:rsidRPr="00E207A2" w:rsidRDefault="005B7671" w:rsidP="005B7671">
      <w:pPr>
        <w:spacing w:line="240" w:lineRule="auto"/>
        <w:jc w:val="both"/>
        <w:rPr>
          <w:rFonts w:ascii="Arial" w:eastAsia="Times New Roman" w:hAnsi="Arial" w:cs="Arial"/>
          <w:sz w:val="24"/>
          <w:szCs w:val="24"/>
          <w:lang w:eastAsia="es-ES"/>
        </w:rPr>
      </w:pPr>
    </w:p>
    <w:p w:rsidR="002D3268" w:rsidRPr="005B7671" w:rsidRDefault="002D3268" w:rsidP="00E207A2">
      <w:pPr>
        <w:jc w:val="both"/>
        <w:rPr>
          <w:rFonts w:ascii="Arial" w:hAnsi="Arial" w:cs="Arial"/>
          <w:b/>
          <w:sz w:val="24"/>
          <w:szCs w:val="24"/>
          <w:u w:val="single"/>
        </w:rPr>
      </w:pPr>
      <w:r w:rsidRPr="005B7671">
        <w:rPr>
          <w:rFonts w:ascii="Arial" w:hAnsi="Arial" w:cs="Arial"/>
          <w:b/>
          <w:sz w:val="24"/>
          <w:szCs w:val="24"/>
          <w:u w:val="single"/>
        </w:rPr>
        <w:t>SOCIAL:</w:t>
      </w:r>
    </w:p>
    <w:p w:rsidR="002D3268" w:rsidRPr="00E207A2" w:rsidRDefault="002D3268" w:rsidP="00E207A2">
      <w:pPr>
        <w:spacing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 xml:space="preserve">El relacionamiento en el tema social dentro del plan se define como un </w:t>
      </w:r>
      <w:r w:rsidRPr="00E207A2">
        <w:rPr>
          <w:rFonts w:ascii="Arial" w:eastAsia="Times New Roman" w:hAnsi="Arial" w:cs="Arial"/>
          <w:b/>
          <w:bCs/>
          <w:sz w:val="24"/>
          <w:szCs w:val="24"/>
          <w:lang w:eastAsia="es-ES"/>
        </w:rPr>
        <w:t>proceso de construcción social</w:t>
      </w:r>
      <w:r w:rsidRPr="00E207A2">
        <w:rPr>
          <w:rFonts w:ascii="Arial" w:eastAsia="Times New Roman" w:hAnsi="Arial" w:cs="Arial"/>
          <w:sz w:val="24"/>
          <w:szCs w:val="24"/>
          <w:lang w:eastAsia="es-ES"/>
        </w:rPr>
        <w:t xml:space="preserve"> que busca empoderar a la ciudadanía para que pase de ser una víctima pasiva a un actor clave en la gestión de su propio </w:t>
      </w:r>
      <w:r w:rsidR="00E207A2">
        <w:rPr>
          <w:rFonts w:ascii="Arial" w:eastAsia="Times New Roman" w:hAnsi="Arial" w:cs="Arial"/>
          <w:sz w:val="24"/>
          <w:szCs w:val="24"/>
          <w:lang w:eastAsia="es-ES"/>
        </w:rPr>
        <w:t>territorio</w:t>
      </w:r>
      <w:r w:rsidRPr="00E207A2">
        <w:rPr>
          <w:rFonts w:ascii="Arial" w:eastAsia="Times New Roman" w:hAnsi="Arial" w:cs="Arial"/>
          <w:sz w:val="24"/>
          <w:szCs w:val="24"/>
          <w:lang w:eastAsia="es-ES"/>
        </w:rPr>
        <w:t xml:space="preserve">. Se reconoce que el riesgo no es solo un fenómeno físico, sino una construcción derivada de las dinámicas económicas, culturales y de poblamiento, por lo que el plan prioriza la </w:t>
      </w:r>
      <w:r w:rsidRPr="00E207A2">
        <w:rPr>
          <w:rFonts w:ascii="Arial" w:eastAsia="Times New Roman" w:hAnsi="Arial" w:cs="Arial"/>
          <w:b/>
          <w:bCs/>
          <w:sz w:val="24"/>
          <w:szCs w:val="24"/>
          <w:lang w:eastAsia="es-ES"/>
        </w:rPr>
        <w:t>participación comunitaria</w:t>
      </w:r>
      <w:r w:rsidRPr="00E207A2">
        <w:rPr>
          <w:rFonts w:ascii="Arial" w:eastAsia="Times New Roman" w:hAnsi="Arial" w:cs="Arial"/>
          <w:sz w:val="24"/>
          <w:szCs w:val="24"/>
          <w:lang w:eastAsia="es-ES"/>
        </w:rPr>
        <w:t xml:space="preserve"> y el bienestar colectivo como pilares para reducir la vulnerabilidad y aumentar la resilienci</w:t>
      </w:r>
      <w:r w:rsidR="00E207A2">
        <w:rPr>
          <w:rFonts w:ascii="Arial" w:eastAsia="Times New Roman" w:hAnsi="Arial" w:cs="Arial"/>
          <w:sz w:val="24"/>
          <w:szCs w:val="24"/>
          <w:lang w:eastAsia="es-ES"/>
        </w:rPr>
        <w:t>a en los 16 municipios.</w:t>
      </w:r>
    </w:p>
    <w:p w:rsidR="002D3268" w:rsidRDefault="002D3268" w:rsidP="00E207A2">
      <w:pPr>
        <w:spacing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lastRenderedPageBreak/>
        <w:t xml:space="preserve">Bajo un </w:t>
      </w:r>
      <w:r w:rsidRPr="00E207A2">
        <w:rPr>
          <w:rFonts w:ascii="Arial" w:eastAsia="Times New Roman" w:hAnsi="Arial" w:cs="Arial"/>
          <w:b/>
          <w:bCs/>
          <w:sz w:val="24"/>
          <w:szCs w:val="24"/>
          <w:lang w:eastAsia="es-ES"/>
        </w:rPr>
        <w:t>enfoque diferencial e inclusivo</w:t>
      </w:r>
      <w:r w:rsidRPr="00E207A2">
        <w:rPr>
          <w:rFonts w:ascii="Arial" w:eastAsia="Times New Roman" w:hAnsi="Arial" w:cs="Arial"/>
          <w:sz w:val="24"/>
          <w:szCs w:val="24"/>
          <w:lang w:eastAsia="es-ES"/>
        </w:rPr>
        <w:t>, el documento otorga especial atención a grupos vulnerables como comunidades indígenas, personas en condición de discapacidad, niños y adultos mayores, integrando sus necesidades específicas en los dia</w:t>
      </w:r>
      <w:r w:rsidR="00E207A2">
        <w:rPr>
          <w:rFonts w:ascii="Arial" w:eastAsia="Times New Roman" w:hAnsi="Arial" w:cs="Arial"/>
          <w:sz w:val="24"/>
          <w:szCs w:val="24"/>
          <w:lang w:eastAsia="es-ES"/>
        </w:rPr>
        <w:t>gnósticos de riesgo</w:t>
      </w:r>
      <w:r w:rsidRPr="00E207A2">
        <w:rPr>
          <w:rFonts w:ascii="Arial" w:eastAsia="Times New Roman" w:hAnsi="Arial" w:cs="Arial"/>
          <w:sz w:val="24"/>
          <w:szCs w:val="24"/>
          <w:lang w:eastAsia="es-ES"/>
        </w:rPr>
        <w:t xml:space="preserve">. Además, aborda el impacto social de factores como el </w:t>
      </w:r>
      <w:r w:rsidRPr="00E207A2">
        <w:rPr>
          <w:rFonts w:ascii="Arial" w:eastAsia="Times New Roman" w:hAnsi="Arial" w:cs="Arial"/>
          <w:b/>
          <w:bCs/>
          <w:sz w:val="24"/>
          <w:szCs w:val="24"/>
          <w:lang w:eastAsia="es-ES"/>
        </w:rPr>
        <w:t>posconflicto</w:t>
      </w:r>
      <w:r w:rsidRPr="00E207A2">
        <w:rPr>
          <w:rFonts w:ascii="Arial" w:eastAsia="Times New Roman" w:hAnsi="Arial" w:cs="Arial"/>
          <w:sz w:val="24"/>
          <w:szCs w:val="24"/>
          <w:lang w:eastAsia="es-ES"/>
        </w:rPr>
        <w:t xml:space="preserve"> y la migración, estableciendo que la seguridad territorial y la mejora en la calidad de vida de estas poblaciones son objetivos fundamentales para garantizar un desarrollo de</w:t>
      </w:r>
      <w:r w:rsidR="00E207A2">
        <w:rPr>
          <w:rFonts w:ascii="Arial" w:eastAsia="Times New Roman" w:hAnsi="Arial" w:cs="Arial"/>
          <w:sz w:val="24"/>
          <w:szCs w:val="24"/>
          <w:lang w:eastAsia="es-ES"/>
        </w:rPr>
        <w:t>partamental seguro y sostenible.</w:t>
      </w:r>
    </w:p>
    <w:p w:rsidR="006D7D69" w:rsidRDefault="00E207A2" w:rsidP="00E207A2">
      <w:pPr>
        <w:spacing w:after="0" w:line="240" w:lineRule="auto"/>
        <w:jc w:val="both"/>
        <w:rPr>
          <w:rFonts w:ascii="Arial" w:eastAsia="Times New Roman" w:hAnsi="Arial" w:cs="Arial"/>
          <w:color w:val="000000"/>
          <w:sz w:val="24"/>
          <w:szCs w:val="24"/>
          <w:lang w:eastAsia="es-ES"/>
        </w:rPr>
      </w:pPr>
      <w:r w:rsidRPr="00E207A2">
        <w:rPr>
          <w:rFonts w:ascii="Arial" w:eastAsia="Times New Roman" w:hAnsi="Arial" w:cs="Arial"/>
          <w:color w:val="000000"/>
          <w:sz w:val="24"/>
          <w:szCs w:val="24"/>
          <w:lang w:eastAsia="es-ES"/>
        </w:rPr>
        <w:t>La Gestión del Riesgo de Desastres es un proceso social orientado a la formulación, ejecución, seguimiento y evaluación de políticas, estrategias, planes, programas, regulaciones, instrumentos, medidas y acciones permanentes para el conocimiento y la reducción del riesgo y para el manejo de desastres, con el propósito de contribuir a la seguridad,  bi</w:t>
      </w:r>
      <w:r>
        <w:rPr>
          <w:rFonts w:ascii="Arial" w:eastAsia="Times New Roman" w:hAnsi="Arial" w:cs="Arial"/>
          <w:color w:val="000000"/>
          <w:sz w:val="24"/>
          <w:szCs w:val="24"/>
          <w:lang w:eastAsia="es-ES"/>
        </w:rPr>
        <w:t>e</w:t>
      </w:r>
      <w:r w:rsidRPr="00E207A2">
        <w:rPr>
          <w:rFonts w:ascii="Arial" w:eastAsia="Times New Roman" w:hAnsi="Arial" w:cs="Arial"/>
          <w:color w:val="000000"/>
          <w:sz w:val="24"/>
          <w:szCs w:val="24"/>
          <w:lang w:eastAsia="es-ES"/>
        </w:rPr>
        <w:t>nesta</w:t>
      </w:r>
      <w:r>
        <w:rPr>
          <w:rFonts w:ascii="Arial" w:eastAsia="Times New Roman" w:hAnsi="Arial" w:cs="Arial"/>
          <w:color w:val="000000"/>
          <w:sz w:val="24"/>
          <w:szCs w:val="24"/>
          <w:lang w:eastAsia="es-ES"/>
        </w:rPr>
        <w:t xml:space="preserve">r, calidad de vida </w:t>
      </w:r>
      <w:r w:rsidRPr="00E207A2">
        <w:rPr>
          <w:rFonts w:ascii="Arial" w:eastAsia="Times New Roman" w:hAnsi="Arial" w:cs="Arial"/>
          <w:color w:val="000000"/>
          <w:sz w:val="24"/>
          <w:szCs w:val="24"/>
          <w:lang w:eastAsia="es-ES"/>
        </w:rPr>
        <w:t>y al desarrollo sostenible.</w:t>
      </w:r>
      <w:r w:rsidRPr="00E207A2">
        <w:rPr>
          <w:rFonts w:ascii="Arial" w:eastAsia="Times New Roman" w:hAnsi="Arial" w:cs="Arial"/>
          <w:color w:val="000000"/>
          <w:sz w:val="24"/>
          <w:szCs w:val="24"/>
          <w:lang w:eastAsia="es-ES"/>
        </w:rPr>
        <w:br/>
        <w:t>Se incluye la Gestión del Riesgo en los instrumentos de planificación, con el propósito de contribuir a la seguridad, bienestar, la calidad de vida de las personas y el des</w:t>
      </w:r>
      <w:r>
        <w:rPr>
          <w:rFonts w:ascii="Arial" w:eastAsia="Times New Roman" w:hAnsi="Arial" w:cs="Arial"/>
          <w:color w:val="000000"/>
          <w:sz w:val="24"/>
          <w:szCs w:val="24"/>
          <w:lang w:eastAsia="es-ES"/>
        </w:rPr>
        <w:t>arrollo sostenible.</w:t>
      </w:r>
      <w:r>
        <w:rPr>
          <w:rFonts w:ascii="Arial" w:eastAsia="Times New Roman" w:hAnsi="Arial" w:cs="Arial"/>
          <w:color w:val="000000"/>
          <w:sz w:val="24"/>
          <w:szCs w:val="24"/>
          <w:lang w:eastAsia="es-ES"/>
        </w:rPr>
        <w:br/>
      </w:r>
    </w:p>
    <w:p w:rsidR="00E207A2" w:rsidRPr="00E207A2" w:rsidRDefault="00E207A2" w:rsidP="00E207A2">
      <w:pPr>
        <w:spacing w:after="0" w:line="240" w:lineRule="auto"/>
        <w:jc w:val="both"/>
        <w:rPr>
          <w:rFonts w:ascii="Arial" w:eastAsia="Times New Roman" w:hAnsi="Arial" w:cs="Arial"/>
          <w:color w:val="000000"/>
          <w:sz w:val="24"/>
          <w:szCs w:val="24"/>
          <w:lang w:eastAsia="es-ES"/>
        </w:rPr>
      </w:pPr>
      <w:r>
        <w:rPr>
          <w:rFonts w:ascii="Arial" w:eastAsia="Times New Roman" w:hAnsi="Arial" w:cs="Arial"/>
          <w:color w:val="000000"/>
          <w:sz w:val="24"/>
          <w:szCs w:val="24"/>
          <w:lang w:eastAsia="es-ES"/>
        </w:rPr>
        <w:t>Existen com</w:t>
      </w:r>
      <w:r w:rsidRPr="00E207A2">
        <w:rPr>
          <w:rFonts w:ascii="Arial" w:eastAsia="Times New Roman" w:hAnsi="Arial" w:cs="Arial"/>
          <w:color w:val="000000"/>
          <w:sz w:val="24"/>
          <w:szCs w:val="24"/>
          <w:lang w:eastAsia="es-ES"/>
        </w:rPr>
        <w:t>unidades no solidarias y por ello no se encuentran organizadas.</w:t>
      </w:r>
    </w:p>
    <w:p w:rsidR="002D3268" w:rsidRPr="00E207A2" w:rsidRDefault="002D3268" w:rsidP="00E207A2">
      <w:pPr>
        <w:jc w:val="both"/>
        <w:rPr>
          <w:rFonts w:ascii="Arial" w:hAnsi="Arial" w:cs="Arial"/>
          <w:sz w:val="24"/>
          <w:szCs w:val="24"/>
        </w:rPr>
      </w:pPr>
    </w:p>
    <w:p w:rsidR="002D3268" w:rsidRPr="005B7671" w:rsidRDefault="002D3268" w:rsidP="00E207A2">
      <w:pPr>
        <w:jc w:val="both"/>
        <w:rPr>
          <w:rFonts w:ascii="Arial" w:hAnsi="Arial" w:cs="Arial"/>
          <w:b/>
          <w:sz w:val="24"/>
          <w:szCs w:val="24"/>
          <w:u w:val="single"/>
        </w:rPr>
      </w:pPr>
      <w:r w:rsidRPr="005B7671">
        <w:rPr>
          <w:rFonts w:ascii="Arial" w:hAnsi="Arial" w:cs="Arial"/>
          <w:b/>
          <w:sz w:val="24"/>
          <w:szCs w:val="24"/>
          <w:u w:val="single"/>
        </w:rPr>
        <w:t>POLÍTICO:</w:t>
      </w:r>
    </w:p>
    <w:p w:rsidR="002D3268" w:rsidRPr="00E207A2" w:rsidRDefault="002D3268" w:rsidP="00E207A2">
      <w:pPr>
        <w:spacing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 xml:space="preserve">El relacionamiento político en el </w:t>
      </w:r>
      <w:r w:rsidRPr="00E207A2">
        <w:rPr>
          <w:rFonts w:ascii="Arial" w:eastAsia="Times New Roman" w:hAnsi="Arial" w:cs="Arial"/>
          <w:b/>
          <w:bCs/>
          <w:sz w:val="24"/>
          <w:szCs w:val="24"/>
          <w:lang w:eastAsia="es-ES"/>
        </w:rPr>
        <w:t>Plan Departamental de Gestión del Riesgo de Desastres (PDGRD) de Caquetá (2018)</w:t>
      </w:r>
      <w:r w:rsidRPr="00E207A2">
        <w:rPr>
          <w:rFonts w:ascii="Arial" w:eastAsia="Times New Roman" w:hAnsi="Arial" w:cs="Arial"/>
          <w:sz w:val="24"/>
          <w:szCs w:val="24"/>
          <w:lang w:eastAsia="es-ES"/>
        </w:rPr>
        <w:t xml:space="preserve"> se fundamenta en la </w:t>
      </w:r>
      <w:r w:rsidRPr="00E207A2">
        <w:rPr>
          <w:rFonts w:ascii="Arial" w:eastAsia="Times New Roman" w:hAnsi="Arial" w:cs="Arial"/>
          <w:b/>
          <w:bCs/>
          <w:sz w:val="24"/>
          <w:szCs w:val="24"/>
          <w:lang w:eastAsia="es-ES"/>
        </w:rPr>
        <w:t>voluntad política</w:t>
      </w:r>
      <w:r w:rsidRPr="00E207A2">
        <w:rPr>
          <w:rFonts w:ascii="Arial" w:eastAsia="Times New Roman" w:hAnsi="Arial" w:cs="Arial"/>
          <w:sz w:val="24"/>
          <w:szCs w:val="24"/>
          <w:lang w:eastAsia="es-ES"/>
        </w:rPr>
        <w:t xml:space="preserve"> y el compromiso de la administración departamental para articular a los 16 municipios bajo una visión estratégica de s</w:t>
      </w:r>
      <w:r w:rsidR="006D7D69">
        <w:rPr>
          <w:rFonts w:ascii="Arial" w:eastAsia="Times New Roman" w:hAnsi="Arial" w:cs="Arial"/>
          <w:sz w:val="24"/>
          <w:szCs w:val="24"/>
          <w:lang w:eastAsia="es-ES"/>
        </w:rPr>
        <w:t>eguridad territorial</w:t>
      </w:r>
      <w:r w:rsidRPr="00E207A2">
        <w:rPr>
          <w:rFonts w:ascii="Arial" w:eastAsia="Times New Roman" w:hAnsi="Arial" w:cs="Arial"/>
          <w:sz w:val="24"/>
          <w:szCs w:val="24"/>
          <w:lang w:eastAsia="es-ES"/>
        </w:rPr>
        <w:t>. Este enfoque se materializa a través de tres ejes principales:</w:t>
      </w:r>
    </w:p>
    <w:p w:rsidR="002D3268" w:rsidRPr="00E207A2" w:rsidRDefault="002D3268" w:rsidP="00E207A2">
      <w:pPr>
        <w:spacing w:line="240" w:lineRule="auto"/>
        <w:jc w:val="both"/>
        <w:rPr>
          <w:rFonts w:ascii="Arial" w:eastAsia="Times New Roman" w:hAnsi="Arial" w:cs="Arial"/>
          <w:b/>
          <w:bCs/>
          <w:sz w:val="24"/>
          <w:szCs w:val="24"/>
          <w:lang w:eastAsia="es-ES"/>
        </w:rPr>
      </w:pPr>
      <w:r w:rsidRPr="00E207A2">
        <w:rPr>
          <w:rFonts w:ascii="Arial" w:eastAsia="Times New Roman" w:hAnsi="Arial" w:cs="Arial"/>
          <w:b/>
          <w:bCs/>
          <w:sz w:val="24"/>
          <w:szCs w:val="24"/>
          <w:lang w:eastAsia="es-ES"/>
        </w:rPr>
        <w:t>1. Gobernanza y Liderazgo Institucional</w:t>
      </w:r>
    </w:p>
    <w:p w:rsidR="002D3268" w:rsidRPr="00E207A2" w:rsidRDefault="002D3268" w:rsidP="00E207A2">
      <w:pPr>
        <w:numPr>
          <w:ilvl w:val="0"/>
          <w:numId w:val="9"/>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Responsabilidad Directa:</w:t>
      </w:r>
      <w:r w:rsidRPr="00E207A2">
        <w:rPr>
          <w:rFonts w:ascii="Arial" w:eastAsia="Times New Roman" w:hAnsi="Arial" w:cs="Arial"/>
          <w:sz w:val="24"/>
          <w:szCs w:val="24"/>
          <w:lang w:eastAsia="es-ES"/>
        </w:rPr>
        <w:t xml:space="preserve"> En el nivel departamental, el </w:t>
      </w:r>
      <w:r w:rsidRPr="00E207A2">
        <w:rPr>
          <w:rFonts w:ascii="Arial" w:eastAsia="Times New Roman" w:hAnsi="Arial" w:cs="Arial"/>
          <w:b/>
          <w:bCs/>
          <w:sz w:val="24"/>
          <w:szCs w:val="24"/>
          <w:lang w:eastAsia="es-ES"/>
        </w:rPr>
        <w:t>Gobernador</w:t>
      </w:r>
      <w:r w:rsidRPr="00E207A2">
        <w:rPr>
          <w:rFonts w:ascii="Arial" w:eastAsia="Times New Roman" w:hAnsi="Arial" w:cs="Arial"/>
          <w:sz w:val="24"/>
          <w:szCs w:val="24"/>
          <w:lang w:eastAsia="es-ES"/>
        </w:rPr>
        <w:t xml:space="preserve"> es el conductor político de la gestión del riesgo, mientras </w:t>
      </w:r>
      <w:r w:rsidR="006D7D69" w:rsidRPr="00E207A2">
        <w:rPr>
          <w:rFonts w:ascii="Arial" w:eastAsia="Times New Roman" w:hAnsi="Arial" w:cs="Arial"/>
          <w:sz w:val="24"/>
          <w:szCs w:val="24"/>
          <w:lang w:eastAsia="es-ES"/>
        </w:rPr>
        <w:t>que,</w:t>
      </w:r>
      <w:r w:rsidRPr="00E207A2">
        <w:rPr>
          <w:rFonts w:ascii="Arial" w:eastAsia="Times New Roman" w:hAnsi="Arial" w:cs="Arial"/>
          <w:sz w:val="24"/>
          <w:szCs w:val="24"/>
          <w:lang w:eastAsia="es-ES"/>
        </w:rPr>
        <w:t xml:space="preserve"> en el nivel local, los </w:t>
      </w:r>
      <w:r w:rsidRPr="00E207A2">
        <w:rPr>
          <w:rFonts w:ascii="Arial" w:eastAsia="Times New Roman" w:hAnsi="Arial" w:cs="Arial"/>
          <w:b/>
          <w:bCs/>
          <w:sz w:val="24"/>
          <w:szCs w:val="24"/>
          <w:lang w:eastAsia="es-ES"/>
        </w:rPr>
        <w:t>Alcaldes</w:t>
      </w:r>
      <w:r w:rsidRPr="00E207A2">
        <w:rPr>
          <w:rFonts w:ascii="Arial" w:eastAsia="Times New Roman" w:hAnsi="Arial" w:cs="Arial"/>
          <w:sz w:val="24"/>
          <w:szCs w:val="24"/>
          <w:lang w:eastAsia="es-ES"/>
        </w:rPr>
        <w:t xml:space="preserve"> asumen esta responsabilidad directa en sus jurisdiccione</w:t>
      </w:r>
      <w:r w:rsidR="006D7D69">
        <w:rPr>
          <w:rFonts w:ascii="Arial" w:eastAsia="Times New Roman" w:hAnsi="Arial" w:cs="Arial"/>
          <w:sz w:val="24"/>
          <w:szCs w:val="24"/>
          <w:lang w:eastAsia="es-ES"/>
        </w:rPr>
        <w:t>s</w:t>
      </w:r>
      <w:r w:rsidRPr="00E207A2">
        <w:rPr>
          <w:rFonts w:ascii="Arial" w:eastAsia="Times New Roman" w:hAnsi="Arial" w:cs="Arial"/>
          <w:sz w:val="24"/>
          <w:szCs w:val="24"/>
          <w:lang w:eastAsia="es-ES"/>
        </w:rPr>
        <w:t>.</w:t>
      </w:r>
    </w:p>
    <w:p w:rsidR="002D3268" w:rsidRPr="00E207A2" w:rsidRDefault="002D3268" w:rsidP="00E207A2">
      <w:pPr>
        <w:numPr>
          <w:ilvl w:val="0"/>
          <w:numId w:val="9"/>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Coordinación Vertical:</w:t>
      </w:r>
      <w:r w:rsidRPr="00E207A2">
        <w:rPr>
          <w:rFonts w:ascii="Arial" w:eastAsia="Times New Roman" w:hAnsi="Arial" w:cs="Arial"/>
          <w:sz w:val="24"/>
          <w:szCs w:val="24"/>
          <w:lang w:eastAsia="es-ES"/>
        </w:rPr>
        <w:t xml:space="preserve"> La administración departamental actúa como la instancia de coordinación, concurrencia y subsidiariedad positiva frente a los municipios, garantizando que las políticas locales se armoni</w:t>
      </w:r>
      <w:r w:rsidR="006D7D69">
        <w:rPr>
          <w:rFonts w:ascii="Arial" w:eastAsia="Times New Roman" w:hAnsi="Arial" w:cs="Arial"/>
          <w:sz w:val="24"/>
          <w:szCs w:val="24"/>
          <w:lang w:eastAsia="es-ES"/>
        </w:rPr>
        <w:t>cen con las nacionales</w:t>
      </w:r>
      <w:r w:rsidRPr="00E207A2">
        <w:rPr>
          <w:rFonts w:ascii="Arial" w:eastAsia="Times New Roman" w:hAnsi="Arial" w:cs="Arial"/>
          <w:sz w:val="24"/>
          <w:szCs w:val="24"/>
          <w:lang w:eastAsia="es-ES"/>
        </w:rPr>
        <w:t>.</w:t>
      </w:r>
    </w:p>
    <w:p w:rsidR="002D3268" w:rsidRPr="00E207A2" w:rsidRDefault="002D3268" w:rsidP="00E207A2">
      <w:pPr>
        <w:numPr>
          <w:ilvl w:val="0"/>
          <w:numId w:val="9"/>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Consejos de Gestión del Riesgo:</w:t>
      </w:r>
      <w:r w:rsidRPr="00E207A2">
        <w:rPr>
          <w:rFonts w:ascii="Arial" w:eastAsia="Times New Roman" w:hAnsi="Arial" w:cs="Arial"/>
          <w:sz w:val="24"/>
          <w:szCs w:val="24"/>
          <w:lang w:eastAsia="es-ES"/>
        </w:rPr>
        <w:t xml:space="preserve"> El relacionamiento se formaliza en el </w:t>
      </w:r>
      <w:r w:rsidRPr="00E207A2">
        <w:rPr>
          <w:rFonts w:ascii="Arial" w:eastAsia="Times New Roman" w:hAnsi="Arial" w:cs="Arial"/>
          <w:b/>
          <w:bCs/>
          <w:sz w:val="24"/>
          <w:szCs w:val="24"/>
          <w:lang w:eastAsia="es-ES"/>
        </w:rPr>
        <w:t>Consejo Departamental (CDGRD)</w:t>
      </w:r>
      <w:r w:rsidRPr="00E207A2">
        <w:rPr>
          <w:rFonts w:ascii="Arial" w:eastAsia="Times New Roman" w:hAnsi="Arial" w:cs="Arial"/>
          <w:sz w:val="24"/>
          <w:szCs w:val="24"/>
          <w:lang w:eastAsia="es-ES"/>
        </w:rPr>
        <w:t xml:space="preserve"> y los </w:t>
      </w:r>
      <w:r w:rsidRPr="00E207A2">
        <w:rPr>
          <w:rFonts w:ascii="Arial" w:eastAsia="Times New Roman" w:hAnsi="Arial" w:cs="Arial"/>
          <w:b/>
          <w:bCs/>
          <w:sz w:val="24"/>
          <w:szCs w:val="24"/>
          <w:lang w:eastAsia="es-ES"/>
        </w:rPr>
        <w:t>Consejos Municipales (CMGRD)</w:t>
      </w:r>
      <w:r w:rsidRPr="00E207A2">
        <w:rPr>
          <w:rFonts w:ascii="Arial" w:eastAsia="Times New Roman" w:hAnsi="Arial" w:cs="Arial"/>
          <w:sz w:val="24"/>
          <w:szCs w:val="24"/>
          <w:lang w:eastAsia="es-ES"/>
        </w:rPr>
        <w:t xml:space="preserve">, que funcionan como espacios de concertación política, asesoría y seguimiento de las </w:t>
      </w:r>
      <w:r w:rsidR="006D7D69">
        <w:rPr>
          <w:rFonts w:ascii="Arial" w:eastAsia="Times New Roman" w:hAnsi="Arial" w:cs="Arial"/>
          <w:sz w:val="24"/>
          <w:szCs w:val="24"/>
          <w:lang w:eastAsia="es-ES"/>
        </w:rPr>
        <w:t>metas de desarrollo seguro</w:t>
      </w:r>
      <w:r w:rsidRPr="00E207A2">
        <w:rPr>
          <w:rFonts w:ascii="Arial" w:eastAsia="Times New Roman" w:hAnsi="Arial" w:cs="Arial"/>
          <w:sz w:val="24"/>
          <w:szCs w:val="24"/>
          <w:lang w:eastAsia="es-ES"/>
        </w:rPr>
        <w:t>.</w:t>
      </w:r>
    </w:p>
    <w:p w:rsidR="006B4C4C" w:rsidRPr="00E207A2" w:rsidRDefault="006B4C4C" w:rsidP="00E207A2">
      <w:pPr>
        <w:spacing w:after="0" w:line="240" w:lineRule="auto"/>
        <w:jc w:val="both"/>
        <w:rPr>
          <w:rFonts w:ascii="Arial" w:eastAsia="Times New Roman" w:hAnsi="Arial" w:cs="Arial"/>
          <w:sz w:val="24"/>
          <w:szCs w:val="24"/>
          <w:lang w:eastAsia="es-ES"/>
        </w:rPr>
      </w:pPr>
    </w:p>
    <w:p w:rsidR="006B4C4C" w:rsidRPr="00E207A2" w:rsidRDefault="006B4C4C" w:rsidP="00E207A2">
      <w:pPr>
        <w:spacing w:after="0" w:line="240" w:lineRule="auto"/>
        <w:jc w:val="both"/>
        <w:rPr>
          <w:rFonts w:ascii="Arial" w:eastAsia="Times New Roman" w:hAnsi="Arial" w:cs="Arial"/>
          <w:sz w:val="24"/>
          <w:szCs w:val="24"/>
          <w:lang w:eastAsia="es-ES"/>
        </w:rPr>
      </w:pPr>
    </w:p>
    <w:p w:rsidR="006B4C4C" w:rsidRPr="00E207A2" w:rsidRDefault="006B4C4C" w:rsidP="00E207A2">
      <w:pPr>
        <w:spacing w:after="0"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La gobernación tiene la competencia de conducir el Plan Nacional de Gestión del Riesgo a nivel departamental, liderar su construcción con cada uno de los municipios y articular con los instrumentos de planificación nacional y municipal.</w:t>
      </w:r>
    </w:p>
    <w:p w:rsidR="006B4C4C" w:rsidRPr="00E207A2" w:rsidRDefault="006B4C4C" w:rsidP="00E207A2">
      <w:pPr>
        <w:spacing w:after="0" w:line="240" w:lineRule="auto"/>
        <w:jc w:val="both"/>
        <w:rPr>
          <w:rFonts w:ascii="Arial" w:eastAsia="Times New Roman" w:hAnsi="Arial" w:cs="Arial"/>
          <w:sz w:val="24"/>
          <w:szCs w:val="24"/>
          <w:lang w:eastAsia="es-ES"/>
        </w:rPr>
      </w:pPr>
    </w:p>
    <w:p w:rsidR="008422C0" w:rsidRPr="00E207A2" w:rsidRDefault="008422C0" w:rsidP="00E207A2">
      <w:pPr>
        <w:spacing w:after="0"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Los Planes de Desarrollo Departamento y los Planes de Ordenamiento territorial departamental deben de estar actualizados para lograr tener un buen documento de PGRD</w:t>
      </w:r>
      <w:r w:rsidR="00875962" w:rsidRPr="00E207A2">
        <w:rPr>
          <w:rFonts w:ascii="Arial" w:eastAsia="Times New Roman" w:hAnsi="Arial" w:cs="Arial"/>
          <w:sz w:val="24"/>
          <w:szCs w:val="24"/>
          <w:lang w:eastAsia="es-ES"/>
        </w:rPr>
        <w:t xml:space="preserve"> ajustado a la realidad.</w:t>
      </w:r>
    </w:p>
    <w:p w:rsidR="002012A5" w:rsidRPr="00E207A2" w:rsidRDefault="002012A5" w:rsidP="00E207A2">
      <w:pPr>
        <w:spacing w:after="0" w:line="240" w:lineRule="auto"/>
        <w:jc w:val="both"/>
        <w:rPr>
          <w:rFonts w:ascii="Arial" w:eastAsia="Times New Roman" w:hAnsi="Arial" w:cs="Arial"/>
          <w:sz w:val="24"/>
          <w:szCs w:val="24"/>
          <w:lang w:eastAsia="es-ES"/>
        </w:rPr>
      </w:pPr>
    </w:p>
    <w:p w:rsidR="002012A5" w:rsidRPr="00E207A2" w:rsidRDefault="002012A5" w:rsidP="00E207A2">
      <w:pPr>
        <w:spacing w:after="0"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lastRenderedPageBreak/>
        <w:t>Baja capacidad de gestión de los líderes políticos, así como su incapacidad para generar opciones de desarrollo en los territorios.</w:t>
      </w:r>
    </w:p>
    <w:p w:rsidR="002012A5" w:rsidRPr="00E207A2" w:rsidRDefault="002012A5" w:rsidP="00E207A2">
      <w:pPr>
        <w:spacing w:after="0" w:line="240" w:lineRule="auto"/>
        <w:jc w:val="both"/>
        <w:rPr>
          <w:rFonts w:ascii="Arial" w:eastAsia="Times New Roman" w:hAnsi="Arial" w:cs="Arial"/>
          <w:sz w:val="24"/>
          <w:szCs w:val="24"/>
          <w:lang w:eastAsia="es-ES"/>
        </w:rPr>
      </w:pPr>
    </w:p>
    <w:p w:rsidR="006B4C4C" w:rsidRPr="00E207A2" w:rsidRDefault="006B4C4C" w:rsidP="00E207A2">
      <w:pPr>
        <w:spacing w:after="0" w:line="240" w:lineRule="auto"/>
        <w:jc w:val="both"/>
        <w:rPr>
          <w:rFonts w:ascii="Arial" w:eastAsia="Times New Roman" w:hAnsi="Arial" w:cs="Arial"/>
          <w:sz w:val="24"/>
          <w:szCs w:val="24"/>
          <w:lang w:eastAsia="es-ES"/>
        </w:rPr>
      </w:pPr>
    </w:p>
    <w:p w:rsidR="002D3268" w:rsidRPr="00E207A2" w:rsidRDefault="002D3268" w:rsidP="00E207A2">
      <w:pPr>
        <w:spacing w:line="240" w:lineRule="auto"/>
        <w:jc w:val="both"/>
        <w:rPr>
          <w:rFonts w:ascii="Arial" w:eastAsia="Times New Roman" w:hAnsi="Arial" w:cs="Arial"/>
          <w:b/>
          <w:bCs/>
          <w:sz w:val="24"/>
          <w:szCs w:val="24"/>
          <w:lang w:eastAsia="es-ES"/>
        </w:rPr>
      </w:pPr>
      <w:r w:rsidRPr="00E207A2">
        <w:rPr>
          <w:rFonts w:ascii="Arial" w:eastAsia="Times New Roman" w:hAnsi="Arial" w:cs="Arial"/>
          <w:b/>
          <w:bCs/>
          <w:sz w:val="24"/>
          <w:szCs w:val="24"/>
          <w:lang w:eastAsia="es-ES"/>
        </w:rPr>
        <w:t>2. Transversalización en la Planeación Pública</w:t>
      </w:r>
    </w:p>
    <w:p w:rsidR="002D3268" w:rsidRPr="00E207A2" w:rsidRDefault="002D3268" w:rsidP="00E207A2">
      <w:pPr>
        <w:spacing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 xml:space="preserve">El plan exige que la gestión del riesgo deje de ser una oficina aislada y se convierta en un </w:t>
      </w:r>
      <w:r w:rsidRPr="00E207A2">
        <w:rPr>
          <w:rFonts w:ascii="Arial" w:eastAsia="Times New Roman" w:hAnsi="Arial" w:cs="Arial"/>
          <w:b/>
          <w:bCs/>
          <w:sz w:val="24"/>
          <w:szCs w:val="24"/>
          <w:lang w:eastAsia="es-ES"/>
        </w:rPr>
        <w:t>determinante ambiental y político</w:t>
      </w:r>
      <w:r w:rsidR="003205FF">
        <w:rPr>
          <w:rFonts w:ascii="Arial" w:eastAsia="Times New Roman" w:hAnsi="Arial" w:cs="Arial"/>
          <w:sz w:val="24"/>
          <w:szCs w:val="24"/>
          <w:lang w:eastAsia="es-ES"/>
        </w:rPr>
        <w:t xml:space="preserve"> de obligatoria consulta para: </w:t>
      </w:r>
    </w:p>
    <w:p w:rsidR="002D3268" w:rsidRPr="00E207A2" w:rsidRDefault="002D3268" w:rsidP="00E207A2">
      <w:pPr>
        <w:numPr>
          <w:ilvl w:val="0"/>
          <w:numId w:val="10"/>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Planes de Desarrollo:</w:t>
      </w:r>
      <w:r w:rsidRPr="00E207A2">
        <w:rPr>
          <w:rFonts w:ascii="Arial" w:eastAsia="Times New Roman" w:hAnsi="Arial" w:cs="Arial"/>
          <w:sz w:val="24"/>
          <w:szCs w:val="24"/>
          <w:lang w:eastAsia="es-ES"/>
        </w:rPr>
        <w:t xml:space="preserve"> Las acciones estratégicas deben integrarse en los planes de desarrollo departamental y municipal para asegurar presupuesto y </w:t>
      </w:r>
      <w:r w:rsidR="003205FF">
        <w:rPr>
          <w:rFonts w:ascii="Arial" w:eastAsia="Times New Roman" w:hAnsi="Arial" w:cs="Arial"/>
          <w:sz w:val="24"/>
          <w:szCs w:val="24"/>
          <w:lang w:eastAsia="es-ES"/>
        </w:rPr>
        <w:t>continuidad política</w:t>
      </w:r>
      <w:r w:rsidRPr="00E207A2">
        <w:rPr>
          <w:rFonts w:ascii="Arial" w:eastAsia="Times New Roman" w:hAnsi="Arial" w:cs="Arial"/>
          <w:sz w:val="24"/>
          <w:szCs w:val="24"/>
          <w:lang w:eastAsia="es-ES"/>
        </w:rPr>
        <w:t>.</w:t>
      </w:r>
    </w:p>
    <w:p w:rsidR="002D3268" w:rsidRDefault="002D3268" w:rsidP="00E207A2">
      <w:pPr>
        <w:numPr>
          <w:ilvl w:val="0"/>
          <w:numId w:val="10"/>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Ordenamiento Territorial:</w:t>
      </w:r>
      <w:r w:rsidRPr="00E207A2">
        <w:rPr>
          <w:rFonts w:ascii="Arial" w:eastAsia="Times New Roman" w:hAnsi="Arial" w:cs="Arial"/>
          <w:sz w:val="24"/>
          <w:szCs w:val="24"/>
          <w:lang w:eastAsia="es-ES"/>
        </w:rPr>
        <w:t xml:space="preserve"> Se establece como una directriz política que el uso del suelo sea regulado según las zonas de amenaza identificadas, evitando la creación de nuevos escenarios de riesgo por decisi</w:t>
      </w:r>
      <w:r w:rsidR="003205FF">
        <w:rPr>
          <w:rFonts w:ascii="Arial" w:eastAsia="Times New Roman" w:hAnsi="Arial" w:cs="Arial"/>
          <w:sz w:val="24"/>
          <w:szCs w:val="24"/>
          <w:lang w:eastAsia="es-ES"/>
        </w:rPr>
        <w:t>ones administrativas</w:t>
      </w:r>
      <w:r w:rsidRPr="00E207A2">
        <w:rPr>
          <w:rFonts w:ascii="Arial" w:eastAsia="Times New Roman" w:hAnsi="Arial" w:cs="Arial"/>
          <w:sz w:val="24"/>
          <w:szCs w:val="24"/>
          <w:lang w:eastAsia="es-ES"/>
        </w:rPr>
        <w:t>.</w:t>
      </w:r>
    </w:p>
    <w:p w:rsidR="003205FF" w:rsidRPr="00E207A2" w:rsidRDefault="003205FF" w:rsidP="003205FF">
      <w:pPr>
        <w:spacing w:after="0" w:line="240" w:lineRule="auto"/>
        <w:jc w:val="both"/>
        <w:rPr>
          <w:rFonts w:ascii="Arial" w:eastAsia="Times New Roman" w:hAnsi="Arial" w:cs="Arial"/>
          <w:sz w:val="24"/>
          <w:szCs w:val="24"/>
          <w:lang w:eastAsia="es-ES"/>
        </w:rPr>
      </w:pPr>
    </w:p>
    <w:p w:rsidR="002D3268" w:rsidRPr="00E207A2" w:rsidRDefault="002D3268" w:rsidP="00E207A2">
      <w:pPr>
        <w:spacing w:line="240" w:lineRule="auto"/>
        <w:jc w:val="both"/>
        <w:rPr>
          <w:rFonts w:ascii="Arial" w:eastAsia="Times New Roman" w:hAnsi="Arial" w:cs="Arial"/>
          <w:b/>
          <w:bCs/>
          <w:sz w:val="24"/>
          <w:szCs w:val="24"/>
          <w:lang w:eastAsia="es-ES"/>
        </w:rPr>
      </w:pPr>
      <w:r w:rsidRPr="00E207A2">
        <w:rPr>
          <w:rFonts w:ascii="Arial" w:eastAsia="Times New Roman" w:hAnsi="Arial" w:cs="Arial"/>
          <w:b/>
          <w:bCs/>
          <w:sz w:val="24"/>
          <w:szCs w:val="24"/>
          <w:lang w:eastAsia="es-ES"/>
        </w:rPr>
        <w:t>3. Compromiso con Agendas Internacionales</w:t>
      </w:r>
    </w:p>
    <w:p w:rsidR="002D3268" w:rsidRPr="00E207A2" w:rsidRDefault="002D3268" w:rsidP="00E207A2">
      <w:pPr>
        <w:spacing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 xml:space="preserve">El departamento vincula su agenda política con marcos globales como el </w:t>
      </w:r>
      <w:r w:rsidRPr="00E207A2">
        <w:rPr>
          <w:rFonts w:ascii="Arial" w:eastAsia="Times New Roman" w:hAnsi="Arial" w:cs="Arial"/>
          <w:b/>
          <w:bCs/>
          <w:sz w:val="24"/>
          <w:szCs w:val="24"/>
          <w:lang w:eastAsia="es-ES"/>
        </w:rPr>
        <w:t>Marco de Sendai (2015-2030)</w:t>
      </w:r>
      <w:r w:rsidRPr="00E207A2">
        <w:rPr>
          <w:rFonts w:ascii="Arial" w:eastAsia="Times New Roman" w:hAnsi="Arial" w:cs="Arial"/>
          <w:sz w:val="24"/>
          <w:szCs w:val="24"/>
          <w:lang w:eastAsia="es-ES"/>
        </w:rPr>
        <w:t xml:space="preserve">, el </w:t>
      </w:r>
      <w:r w:rsidRPr="00E207A2">
        <w:rPr>
          <w:rFonts w:ascii="Arial" w:eastAsia="Times New Roman" w:hAnsi="Arial" w:cs="Arial"/>
          <w:b/>
          <w:bCs/>
          <w:sz w:val="24"/>
          <w:szCs w:val="24"/>
          <w:lang w:eastAsia="es-ES"/>
        </w:rPr>
        <w:t>Acuerdo de París (COP 21)</w:t>
      </w:r>
      <w:r w:rsidRPr="00E207A2">
        <w:rPr>
          <w:rFonts w:ascii="Arial" w:eastAsia="Times New Roman" w:hAnsi="Arial" w:cs="Arial"/>
          <w:sz w:val="24"/>
          <w:szCs w:val="24"/>
          <w:lang w:eastAsia="es-ES"/>
        </w:rPr>
        <w:t xml:space="preserve"> y los </w:t>
      </w:r>
      <w:r w:rsidRPr="00E207A2">
        <w:rPr>
          <w:rFonts w:ascii="Arial" w:eastAsia="Times New Roman" w:hAnsi="Arial" w:cs="Arial"/>
          <w:b/>
          <w:bCs/>
          <w:sz w:val="24"/>
          <w:szCs w:val="24"/>
          <w:lang w:eastAsia="es-ES"/>
        </w:rPr>
        <w:t>Objetivos de Desarrollo Sostenible (ODS)</w:t>
      </w:r>
      <w:r w:rsidRPr="00E207A2">
        <w:rPr>
          <w:rFonts w:ascii="Arial" w:eastAsia="Times New Roman" w:hAnsi="Arial" w:cs="Arial"/>
          <w:sz w:val="24"/>
          <w:szCs w:val="24"/>
          <w:lang w:eastAsia="es-ES"/>
        </w:rPr>
        <w:t xml:space="preserve">. Esto compromete a los líderes locales a implementar políticas de adaptación al </w:t>
      </w:r>
      <w:r w:rsidRPr="00E207A2">
        <w:rPr>
          <w:rFonts w:ascii="Arial" w:eastAsia="Times New Roman" w:hAnsi="Arial" w:cs="Arial"/>
          <w:b/>
          <w:bCs/>
          <w:sz w:val="24"/>
          <w:szCs w:val="24"/>
          <w:lang w:eastAsia="es-ES"/>
        </w:rPr>
        <w:t>cambio climático</w:t>
      </w:r>
      <w:r w:rsidRPr="00E207A2">
        <w:rPr>
          <w:rFonts w:ascii="Arial" w:eastAsia="Times New Roman" w:hAnsi="Arial" w:cs="Arial"/>
          <w:sz w:val="24"/>
          <w:szCs w:val="24"/>
          <w:lang w:eastAsia="es-ES"/>
        </w:rPr>
        <w:t xml:space="preserve"> y resiliencia urbana como parte de su gestión públ</w:t>
      </w:r>
      <w:r w:rsidR="003205FF">
        <w:rPr>
          <w:rFonts w:ascii="Arial" w:eastAsia="Times New Roman" w:hAnsi="Arial" w:cs="Arial"/>
          <w:sz w:val="24"/>
          <w:szCs w:val="24"/>
          <w:lang w:eastAsia="es-ES"/>
        </w:rPr>
        <w:t>ica</w:t>
      </w:r>
      <w:r w:rsidRPr="00E207A2">
        <w:rPr>
          <w:rFonts w:ascii="Arial" w:eastAsia="Times New Roman" w:hAnsi="Arial" w:cs="Arial"/>
          <w:sz w:val="24"/>
          <w:szCs w:val="24"/>
          <w:lang w:eastAsia="es-ES"/>
        </w:rPr>
        <w:t>.</w:t>
      </w:r>
    </w:p>
    <w:p w:rsidR="002D3268" w:rsidRPr="00E207A2" w:rsidRDefault="002D3268" w:rsidP="00E207A2">
      <w:pPr>
        <w:spacing w:after="0" w:line="240" w:lineRule="auto"/>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Nota:</w:t>
      </w:r>
      <w:r w:rsidRPr="00E207A2">
        <w:rPr>
          <w:rFonts w:ascii="Arial" w:eastAsia="Times New Roman" w:hAnsi="Arial" w:cs="Arial"/>
          <w:sz w:val="24"/>
          <w:szCs w:val="24"/>
          <w:lang w:eastAsia="es-ES"/>
        </w:rPr>
        <w:t xml:space="preserve"> La efectividad de este relacionamiento depende de la articulación con el </w:t>
      </w:r>
      <w:r w:rsidRPr="00E207A2">
        <w:rPr>
          <w:rFonts w:ascii="Arial" w:eastAsia="Times New Roman" w:hAnsi="Arial" w:cs="Arial"/>
          <w:b/>
          <w:bCs/>
          <w:sz w:val="24"/>
          <w:szCs w:val="24"/>
          <w:lang w:eastAsia="es-ES"/>
        </w:rPr>
        <w:t>Fondo Departamental de Gestión del Riesgo</w:t>
      </w:r>
      <w:r w:rsidRPr="00E207A2">
        <w:rPr>
          <w:rFonts w:ascii="Arial" w:eastAsia="Times New Roman" w:hAnsi="Arial" w:cs="Arial"/>
          <w:sz w:val="24"/>
          <w:szCs w:val="24"/>
          <w:lang w:eastAsia="es-ES"/>
        </w:rPr>
        <w:t xml:space="preserve">, el cual debe ser fortalecido políticamente para garantizar que las obras de mitigación cuenten </w:t>
      </w:r>
      <w:r w:rsidR="003205FF">
        <w:rPr>
          <w:rFonts w:ascii="Arial" w:eastAsia="Times New Roman" w:hAnsi="Arial" w:cs="Arial"/>
          <w:sz w:val="24"/>
          <w:szCs w:val="24"/>
          <w:lang w:eastAsia="es-ES"/>
        </w:rPr>
        <w:t>con financiación real</w:t>
      </w:r>
      <w:r w:rsidRPr="00E207A2">
        <w:rPr>
          <w:rFonts w:ascii="Arial" w:eastAsia="Times New Roman" w:hAnsi="Arial" w:cs="Arial"/>
          <w:sz w:val="24"/>
          <w:szCs w:val="24"/>
          <w:lang w:eastAsia="es-ES"/>
        </w:rPr>
        <w:t xml:space="preserve">. </w:t>
      </w:r>
    </w:p>
    <w:p w:rsidR="003205FF" w:rsidRDefault="003205FF" w:rsidP="006D7D69">
      <w:pPr>
        <w:spacing w:after="0" w:line="240" w:lineRule="auto"/>
        <w:jc w:val="both"/>
        <w:rPr>
          <w:rFonts w:ascii="Arial" w:hAnsi="Arial" w:cs="Arial"/>
          <w:sz w:val="24"/>
          <w:szCs w:val="24"/>
        </w:rPr>
      </w:pPr>
    </w:p>
    <w:p w:rsidR="006D7D69" w:rsidRDefault="006D7D69" w:rsidP="006D7D69">
      <w:pPr>
        <w:spacing w:after="0" w:line="240" w:lineRule="auto"/>
        <w:jc w:val="both"/>
        <w:rPr>
          <w:rFonts w:ascii="Arial" w:eastAsia="Times New Roman" w:hAnsi="Arial" w:cs="Arial"/>
          <w:color w:val="000000"/>
          <w:sz w:val="24"/>
          <w:szCs w:val="24"/>
          <w:lang w:eastAsia="es-ES"/>
        </w:rPr>
      </w:pPr>
      <w:r w:rsidRPr="006D7D69">
        <w:rPr>
          <w:rFonts w:ascii="Arial" w:eastAsia="Times New Roman" w:hAnsi="Arial" w:cs="Arial"/>
          <w:color w:val="000000"/>
          <w:sz w:val="24"/>
          <w:szCs w:val="24"/>
          <w:lang w:eastAsia="es-ES"/>
        </w:rPr>
        <w:t>A nivel departamental, d</w:t>
      </w:r>
      <w:r>
        <w:rPr>
          <w:rFonts w:ascii="Arial" w:eastAsia="Times New Roman" w:hAnsi="Arial" w:cs="Arial"/>
          <w:color w:val="000000"/>
          <w:sz w:val="24"/>
          <w:szCs w:val="24"/>
          <w:lang w:eastAsia="es-ES"/>
        </w:rPr>
        <w:t>an cumplimiento a la Ley 1523 d</w:t>
      </w:r>
      <w:r w:rsidRPr="006D7D69">
        <w:rPr>
          <w:rFonts w:ascii="Arial" w:eastAsia="Times New Roman" w:hAnsi="Arial" w:cs="Arial"/>
          <w:color w:val="000000"/>
          <w:sz w:val="24"/>
          <w:szCs w:val="24"/>
          <w:lang w:eastAsia="es-ES"/>
        </w:rPr>
        <w:t xml:space="preserve">e </w:t>
      </w:r>
      <w:proofErr w:type="gramStart"/>
      <w:r w:rsidRPr="006D7D69">
        <w:rPr>
          <w:rFonts w:ascii="Arial" w:eastAsia="Times New Roman" w:hAnsi="Arial" w:cs="Arial"/>
          <w:color w:val="000000"/>
          <w:sz w:val="24"/>
          <w:szCs w:val="24"/>
          <w:lang w:eastAsia="es-ES"/>
        </w:rPr>
        <w:t>Abril</w:t>
      </w:r>
      <w:proofErr w:type="gramEnd"/>
      <w:r w:rsidRPr="006D7D69">
        <w:rPr>
          <w:rFonts w:ascii="Arial" w:eastAsia="Times New Roman" w:hAnsi="Arial" w:cs="Arial"/>
          <w:color w:val="000000"/>
          <w:sz w:val="24"/>
          <w:szCs w:val="24"/>
          <w:lang w:eastAsia="es-ES"/>
        </w:rPr>
        <w:t xml:space="preserve"> de 2012, y con ello obligan a la implementación de</w:t>
      </w:r>
      <w:r>
        <w:rPr>
          <w:rFonts w:ascii="Arial" w:eastAsia="Times New Roman" w:hAnsi="Arial" w:cs="Arial"/>
          <w:color w:val="000000"/>
          <w:sz w:val="24"/>
          <w:szCs w:val="24"/>
          <w:lang w:eastAsia="es-ES"/>
        </w:rPr>
        <w:t xml:space="preserve"> </w:t>
      </w:r>
      <w:r w:rsidRPr="006D7D69">
        <w:rPr>
          <w:rFonts w:ascii="Arial" w:eastAsia="Times New Roman" w:hAnsi="Arial" w:cs="Arial"/>
          <w:color w:val="000000"/>
          <w:sz w:val="24"/>
          <w:szCs w:val="24"/>
          <w:lang w:eastAsia="es-ES"/>
        </w:rPr>
        <w:t>una política pública de Gestión del Riesgo en cada uno de los municipios.</w:t>
      </w:r>
    </w:p>
    <w:p w:rsidR="006D7D69" w:rsidRDefault="006D7D69" w:rsidP="006D7D69">
      <w:pPr>
        <w:spacing w:after="0" w:line="240" w:lineRule="auto"/>
        <w:jc w:val="both"/>
        <w:rPr>
          <w:rFonts w:ascii="Arial" w:eastAsia="Times New Roman" w:hAnsi="Arial" w:cs="Arial"/>
          <w:color w:val="000000"/>
          <w:sz w:val="24"/>
          <w:szCs w:val="24"/>
          <w:lang w:eastAsia="es-ES"/>
        </w:rPr>
      </w:pPr>
      <w:r w:rsidRPr="006D7D69">
        <w:rPr>
          <w:rFonts w:ascii="Arial" w:eastAsia="Times New Roman" w:hAnsi="Arial" w:cs="Arial"/>
          <w:color w:val="000000"/>
          <w:sz w:val="24"/>
          <w:szCs w:val="24"/>
          <w:lang w:eastAsia="es-ES"/>
        </w:rPr>
        <w:br/>
        <w:t>Los gobernadores deben poner en marcha y darle continuidad al proceso de Gestión del Riesgo integrándolo al Plan de Desarrollo Departamental. Y es el coordinador ante los municipios que hacen parte del departamento.</w:t>
      </w:r>
      <w:r w:rsidRPr="006D7D69">
        <w:rPr>
          <w:rFonts w:ascii="Arial" w:eastAsia="Times New Roman" w:hAnsi="Arial" w:cs="Arial"/>
          <w:color w:val="000000"/>
          <w:sz w:val="24"/>
          <w:szCs w:val="24"/>
          <w:lang w:eastAsia="es-ES"/>
        </w:rPr>
        <w:br/>
        <w:t>Además, coge como lineamiento la Tercera Conferencia mundial Marco de Acción SENDAI.</w:t>
      </w:r>
      <w:r w:rsidRPr="006D7D69">
        <w:rPr>
          <w:rFonts w:ascii="Arial" w:eastAsia="Times New Roman" w:hAnsi="Arial" w:cs="Arial"/>
          <w:color w:val="000000"/>
          <w:sz w:val="24"/>
          <w:szCs w:val="24"/>
          <w:lang w:eastAsia="es-ES"/>
        </w:rPr>
        <w:br/>
      </w:r>
    </w:p>
    <w:p w:rsidR="006D7D69" w:rsidRDefault="006D7D69" w:rsidP="006D7D69">
      <w:pPr>
        <w:spacing w:after="0" w:line="240" w:lineRule="auto"/>
        <w:jc w:val="both"/>
        <w:rPr>
          <w:rFonts w:ascii="Arial" w:eastAsia="Times New Roman" w:hAnsi="Arial" w:cs="Arial"/>
          <w:color w:val="000000"/>
          <w:sz w:val="24"/>
          <w:szCs w:val="24"/>
          <w:lang w:eastAsia="es-ES"/>
        </w:rPr>
      </w:pPr>
      <w:r w:rsidRPr="006D7D69">
        <w:rPr>
          <w:rFonts w:ascii="Arial" w:eastAsia="Times New Roman" w:hAnsi="Arial" w:cs="Arial"/>
          <w:color w:val="000000"/>
          <w:sz w:val="24"/>
          <w:szCs w:val="24"/>
          <w:lang w:eastAsia="es-ES"/>
        </w:rPr>
        <w:t>El documento se relaciona y se articula con: Plan de Desarrollo Departamental, Plan de Ordenamiento Territorial, Plan Plurianual de inversiones, el plan de Manejo y ordenamiento de las cuencas, e</w:t>
      </w:r>
      <w:r>
        <w:rPr>
          <w:rFonts w:ascii="Arial" w:eastAsia="Times New Roman" w:hAnsi="Arial" w:cs="Arial"/>
          <w:color w:val="000000"/>
          <w:sz w:val="24"/>
          <w:szCs w:val="24"/>
          <w:lang w:eastAsia="es-ES"/>
        </w:rPr>
        <w:t>n</w:t>
      </w:r>
      <w:r w:rsidRPr="006D7D69">
        <w:rPr>
          <w:rFonts w:ascii="Arial" w:eastAsia="Times New Roman" w:hAnsi="Arial" w:cs="Arial"/>
          <w:color w:val="000000"/>
          <w:sz w:val="24"/>
          <w:szCs w:val="24"/>
          <w:lang w:eastAsia="es-ES"/>
        </w:rPr>
        <w:t>tre otros.</w:t>
      </w:r>
      <w:r w:rsidRPr="006D7D69">
        <w:rPr>
          <w:rFonts w:ascii="Arial" w:eastAsia="Times New Roman" w:hAnsi="Arial" w:cs="Arial"/>
          <w:color w:val="000000"/>
          <w:sz w:val="24"/>
          <w:szCs w:val="24"/>
          <w:lang w:eastAsia="es-ES"/>
        </w:rPr>
        <w:br/>
      </w:r>
    </w:p>
    <w:p w:rsidR="006D7D69" w:rsidRPr="006D7D69" w:rsidRDefault="006D7D69" w:rsidP="006D7D69">
      <w:pPr>
        <w:spacing w:after="0" w:line="240" w:lineRule="auto"/>
        <w:jc w:val="both"/>
        <w:rPr>
          <w:rFonts w:ascii="Arial" w:eastAsia="Times New Roman" w:hAnsi="Arial" w:cs="Arial"/>
          <w:color w:val="000000"/>
          <w:sz w:val="24"/>
          <w:szCs w:val="24"/>
          <w:lang w:eastAsia="es-ES"/>
        </w:rPr>
      </w:pPr>
      <w:r w:rsidRPr="006D7D69">
        <w:rPr>
          <w:rFonts w:ascii="Arial" w:eastAsia="Times New Roman" w:hAnsi="Arial" w:cs="Arial"/>
          <w:color w:val="000000"/>
          <w:sz w:val="24"/>
          <w:szCs w:val="24"/>
          <w:lang w:eastAsia="es-ES"/>
        </w:rPr>
        <w:t>Falta de instituciones y funcionarios que propendan por la ejecución de proyectos.</w:t>
      </w:r>
    </w:p>
    <w:p w:rsidR="006D7D69" w:rsidRDefault="006D7D69" w:rsidP="00E207A2">
      <w:pPr>
        <w:jc w:val="both"/>
        <w:rPr>
          <w:rFonts w:ascii="Arial" w:hAnsi="Arial" w:cs="Arial"/>
          <w:sz w:val="24"/>
          <w:szCs w:val="24"/>
        </w:rPr>
      </w:pPr>
    </w:p>
    <w:p w:rsidR="006D7D69" w:rsidRDefault="006D7D69" w:rsidP="00E207A2">
      <w:pPr>
        <w:jc w:val="both"/>
        <w:rPr>
          <w:rFonts w:ascii="Arial" w:hAnsi="Arial" w:cs="Arial"/>
          <w:sz w:val="24"/>
          <w:szCs w:val="24"/>
        </w:rPr>
      </w:pPr>
    </w:p>
    <w:p w:rsidR="002D3268" w:rsidRPr="005B7671" w:rsidRDefault="002D3268" w:rsidP="00E207A2">
      <w:pPr>
        <w:jc w:val="both"/>
        <w:rPr>
          <w:rFonts w:ascii="Arial" w:hAnsi="Arial" w:cs="Arial"/>
          <w:b/>
          <w:sz w:val="24"/>
          <w:szCs w:val="24"/>
          <w:u w:val="single"/>
        </w:rPr>
      </w:pPr>
      <w:r w:rsidRPr="005B7671">
        <w:rPr>
          <w:rFonts w:ascii="Arial" w:hAnsi="Arial" w:cs="Arial"/>
          <w:b/>
          <w:sz w:val="24"/>
          <w:szCs w:val="24"/>
          <w:u w:val="single"/>
        </w:rPr>
        <w:t>CULTURAL:</w:t>
      </w:r>
    </w:p>
    <w:p w:rsidR="002D3268" w:rsidRPr="00E207A2" w:rsidRDefault="002D3268" w:rsidP="00E207A2">
      <w:pPr>
        <w:spacing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 xml:space="preserve">El relacionamiento en el ámbito cultural dentro del documento se aborda desde la </w:t>
      </w:r>
      <w:r w:rsidRPr="00E207A2">
        <w:rPr>
          <w:rFonts w:ascii="Arial" w:eastAsia="Times New Roman" w:hAnsi="Arial" w:cs="Arial"/>
          <w:b/>
          <w:bCs/>
          <w:sz w:val="24"/>
          <w:szCs w:val="24"/>
          <w:lang w:eastAsia="es-ES"/>
        </w:rPr>
        <w:t>identidad histórica</w:t>
      </w:r>
      <w:r w:rsidRPr="00E207A2">
        <w:rPr>
          <w:rFonts w:ascii="Arial" w:eastAsia="Times New Roman" w:hAnsi="Arial" w:cs="Arial"/>
          <w:sz w:val="24"/>
          <w:szCs w:val="24"/>
          <w:lang w:eastAsia="es-ES"/>
        </w:rPr>
        <w:t xml:space="preserve"> y la </w:t>
      </w:r>
      <w:r w:rsidRPr="00E207A2">
        <w:rPr>
          <w:rFonts w:ascii="Arial" w:eastAsia="Times New Roman" w:hAnsi="Arial" w:cs="Arial"/>
          <w:b/>
          <w:bCs/>
          <w:sz w:val="24"/>
          <w:szCs w:val="24"/>
          <w:lang w:eastAsia="es-ES"/>
        </w:rPr>
        <w:t>percepción del riesgo</w:t>
      </w:r>
      <w:r w:rsidRPr="00E207A2">
        <w:rPr>
          <w:rFonts w:ascii="Arial" w:eastAsia="Times New Roman" w:hAnsi="Arial" w:cs="Arial"/>
          <w:sz w:val="24"/>
          <w:szCs w:val="24"/>
          <w:lang w:eastAsia="es-ES"/>
        </w:rPr>
        <w:t xml:space="preserve"> de la población </w:t>
      </w:r>
      <w:proofErr w:type="spellStart"/>
      <w:r w:rsidRPr="00E207A2">
        <w:rPr>
          <w:rFonts w:ascii="Arial" w:eastAsia="Times New Roman" w:hAnsi="Arial" w:cs="Arial"/>
          <w:sz w:val="24"/>
          <w:szCs w:val="24"/>
          <w:lang w:eastAsia="es-ES"/>
        </w:rPr>
        <w:t>caqueteña</w:t>
      </w:r>
      <w:proofErr w:type="spellEnd"/>
      <w:r w:rsidRPr="00E207A2">
        <w:rPr>
          <w:rFonts w:ascii="Arial" w:eastAsia="Times New Roman" w:hAnsi="Arial" w:cs="Arial"/>
          <w:sz w:val="24"/>
          <w:szCs w:val="24"/>
          <w:lang w:eastAsia="es-ES"/>
        </w:rPr>
        <w:t xml:space="preserve">. El </w:t>
      </w:r>
      <w:r w:rsidRPr="00E207A2">
        <w:rPr>
          <w:rFonts w:ascii="Arial" w:eastAsia="Times New Roman" w:hAnsi="Arial" w:cs="Arial"/>
          <w:sz w:val="24"/>
          <w:szCs w:val="24"/>
          <w:lang w:eastAsia="es-ES"/>
        </w:rPr>
        <w:lastRenderedPageBreak/>
        <w:t xml:space="preserve">plan reconoce que la cultura del departamento ha sido moldeada por procesos de colonización espontánea y desordenada, lo que ha generado una relación particular entre los habitantes y su entorno. En este sentido, la gestión del riesgo se plantea como un reto cultural que busca transformar la mentalidad de la población, pasando de una cultura de atención de emergencias a una </w:t>
      </w:r>
      <w:r w:rsidRPr="00E207A2">
        <w:rPr>
          <w:rFonts w:ascii="Arial" w:eastAsia="Times New Roman" w:hAnsi="Arial" w:cs="Arial"/>
          <w:b/>
          <w:bCs/>
          <w:sz w:val="24"/>
          <w:szCs w:val="24"/>
          <w:lang w:eastAsia="es-ES"/>
        </w:rPr>
        <w:t>cultura de prevención y resiliencia</w:t>
      </w:r>
      <w:r w:rsidRPr="00E207A2">
        <w:rPr>
          <w:rFonts w:ascii="Arial" w:eastAsia="Times New Roman" w:hAnsi="Arial" w:cs="Arial"/>
          <w:sz w:val="24"/>
          <w:szCs w:val="24"/>
          <w:lang w:eastAsia="es-ES"/>
        </w:rPr>
        <w:t>, donde el ciudadano comprenda que sus prácticas cotidianas (como la ubicación de sus viviendas o el manejo de recursos) influyen directamente en la creación de riesgos.</w:t>
      </w:r>
    </w:p>
    <w:p w:rsidR="002D3268" w:rsidRPr="00E207A2" w:rsidRDefault="002D3268" w:rsidP="00E207A2">
      <w:pPr>
        <w:spacing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 xml:space="preserve">Un aspecto clave de este relacionamiento es el respeto y la integración de la </w:t>
      </w:r>
      <w:r w:rsidRPr="00E207A2">
        <w:rPr>
          <w:rFonts w:ascii="Arial" w:eastAsia="Times New Roman" w:hAnsi="Arial" w:cs="Arial"/>
          <w:b/>
          <w:bCs/>
          <w:sz w:val="24"/>
          <w:szCs w:val="24"/>
          <w:lang w:eastAsia="es-ES"/>
        </w:rPr>
        <w:t>cosmovisión de los pueblos indígenas</w:t>
      </w:r>
      <w:r w:rsidRPr="00E207A2">
        <w:rPr>
          <w:rFonts w:ascii="Arial" w:eastAsia="Times New Roman" w:hAnsi="Arial" w:cs="Arial"/>
          <w:sz w:val="24"/>
          <w:szCs w:val="24"/>
          <w:lang w:eastAsia="es-ES"/>
        </w:rPr>
        <w:t xml:space="preserve"> del Caquetá. El plan identifica a los resguardos y comunidades étnicas como actores con dinámicas culturales, sociales y ambientales propias que requieren un trato diferenciado. Se busca que el conocimiento del riesgo no sea solo técnico-científico, sino que incorpore los saberes tradicionales para garantizar que las estrategias de reducción sean coherentes con las tradiciones y la estructura social de cada comunidad, asegurando así un desarrollo que sea </w:t>
      </w:r>
      <w:r w:rsidR="003205FF" w:rsidRPr="00E207A2">
        <w:rPr>
          <w:rFonts w:ascii="Arial" w:eastAsia="Times New Roman" w:hAnsi="Arial" w:cs="Arial"/>
          <w:sz w:val="24"/>
          <w:szCs w:val="24"/>
          <w:lang w:eastAsia="es-ES"/>
        </w:rPr>
        <w:t>seguro,</w:t>
      </w:r>
      <w:r w:rsidRPr="00E207A2">
        <w:rPr>
          <w:rFonts w:ascii="Arial" w:eastAsia="Times New Roman" w:hAnsi="Arial" w:cs="Arial"/>
          <w:sz w:val="24"/>
          <w:szCs w:val="24"/>
          <w:lang w:eastAsia="es-ES"/>
        </w:rPr>
        <w:t xml:space="preserve"> pero también respetuoso de la diversidad cultural del territorio.</w:t>
      </w:r>
    </w:p>
    <w:p w:rsidR="002D3268" w:rsidRPr="00E207A2" w:rsidRDefault="003205FF" w:rsidP="00E207A2">
      <w:pPr>
        <w:jc w:val="both"/>
        <w:rPr>
          <w:rFonts w:ascii="Arial" w:hAnsi="Arial" w:cs="Arial"/>
          <w:sz w:val="24"/>
          <w:szCs w:val="24"/>
        </w:rPr>
      </w:pPr>
      <w:r w:rsidRPr="003205FF">
        <w:rPr>
          <w:rFonts w:ascii="Arial" w:hAnsi="Arial" w:cs="Arial"/>
          <w:sz w:val="24"/>
          <w:szCs w:val="24"/>
        </w:rPr>
        <w:t>Bajo conocimiento en los procesos de gestión del riesgo de desastres.</w:t>
      </w:r>
      <w:r>
        <w:rPr>
          <w:rFonts w:ascii="Arial" w:hAnsi="Arial" w:cs="Arial"/>
          <w:sz w:val="24"/>
          <w:szCs w:val="24"/>
        </w:rPr>
        <w:t xml:space="preserve"> Desconocimiento d</w:t>
      </w:r>
      <w:r w:rsidRPr="003205FF">
        <w:rPr>
          <w:rFonts w:ascii="Arial" w:hAnsi="Arial" w:cs="Arial"/>
          <w:sz w:val="24"/>
          <w:szCs w:val="24"/>
        </w:rPr>
        <w:t>e</w:t>
      </w:r>
      <w:r>
        <w:rPr>
          <w:rFonts w:ascii="Arial" w:hAnsi="Arial" w:cs="Arial"/>
          <w:sz w:val="24"/>
          <w:szCs w:val="24"/>
        </w:rPr>
        <w:t xml:space="preserve"> </w:t>
      </w:r>
      <w:r w:rsidRPr="003205FF">
        <w:rPr>
          <w:rFonts w:ascii="Arial" w:hAnsi="Arial" w:cs="Arial"/>
          <w:sz w:val="24"/>
          <w:szCs w:val="24"/>
        </w:rPr>
        <w:t xml:space="preserve">la memoria histórica y de los antecedentes de </w:t>
      </w:r>
      <w:r>
        <w:rPr>
          <w:rFonts w:ascii="Arial" w:hAnsi="Arial" w:cs="Arial"/>
          <w:sz w:val="24"/>
          <w:szCs w:val="24"/>
        </w:rPr>
        <w:t>l</w:t>
      </w:r>
      <w:r w:rsidRPr="003205FF">
        <w:rPr>
          <w:rFonts w:ascii="Arial" w:hAnsi="Arial" w:cs="Arial"/>
          <w:sz w:val="24"/>
          <w:szCs w:val="24"/>
        </w:rPr>
        <w:t>os fenómenos ocurridos en el territorio, son las variables que tuvo en cuenta el documento PDGR.</w:t>
      </w:r>
    </w:p>
    <w:p w:rsidR="003205FF" w:rsidRDefault="003205FF" w:rsidP="00E207A2">
      <w:pPr>
        <w:jc w:val="both"/>
        <w:rPr>
          <w:rFonts w:ascii="Arial" w:hAnsi="Arial" w:cs="Arial"/>
          <w:b/>
          <w:sz w:val="24"/>
          <w:szCs w:val="24"/>
        </w:rPr>
      </w:pPr>
    </w:p>
    <w:p w:rsidR="002D3268" w:rsidRPr="005B7671" w:rsidRDefault="002D3268" w:rsidP="00E207A2">
      <w:pPr>
        <w:jc w:val="both"/>
        <w:rPr>
          <w:rFonts w:ascii="Arial" w:hAnsi="Arial" w:cs="Arial"/>
          <w:b/>
          <w:sz w:val="24"/>
          <w:szCs w:val="24"/>
          <w:u w:val="single"/>
        </w:rPr>
      </w:pPr>
      <w:r w:rsidRPr="005B7671">
        <w:rPr>
          <w:rFonts w:ascii="Arial" w:hAnsi="Arial" w:cs="Arial"/>
          <w:b/>
          <w:sz w:val="24"/>
          <w:szCs w:val="24"/>
          <w:u w:val="single"/>
        </w:rPr>
        <w:t>AMBIENTAL:</w:t>
      </w:r>
    </w:p>
    <w:p w:rsidR="002D3268" w:rsidRPr="00E207A2" w:rsidRDefault="002D3268" w:rsidP="00E207A2">
      <w:pPr>
        <w:spacing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 xml:space="preserve">En el PDGRD de Caquetá, el relacionamiento en lo ambiental es el eje articulador entre la riqueza natural de la Amazonía y la seguridad de sus habitantes. El documento establece que el medio ambiente no es solo un receptor de impactos, sino un </w:t>
      </w:r>
      <w:r w:rsidRPr="00E207A2">
        <w:rPr>
          <w:rFonts w:ascii="Arial" w:eastAsia="Times New Roman" w:hAnsi="Arial" w:cs="Arial"/>
          <w:b/>
          <w:bCs/>
          <w:sz w:val="24"/>
          <w:szCs w:val="24"/>
          <w:lang w:eastAsia="es-ES"/>
        </w:rPr>
        <w:t>condicionante del desarrollo</w:t>
      </w:r>
      <w:r w:rsidRPr="00E207A2">
        <w:rPr>
          <w:rFonts w:ascii="Arial" w:eastAsia="Times New Roman" w:hAnsi="Arial" w:cs="Arial"/>
          <w:sz w:val="24"/>
          <w:szCs w:val="24"/>
          <w:lang w:eastAsia="es-ES"/>
        </w:rPr>
        <w:t xml:space="preserve"> y una herramienta de protección.</w:t>
      </w:r>
    </w:p>
    <w:p w:rsidR="002D3268" w:rsidRPr="00E207A2" w:rsidRDefault="002D3268" w:rsidP="00E207A2">
      <w:pPr>
        <w:spacing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Los puntos clave de este relacionamiento son:</w:t>
      </w:r>
    </w:p>
    <w:p w:rsidR="00C75659" w:rsidRDefault="002D3268" w:rsidP="00E207A2">
      <w:pPr>
        <w:numPr>
          <w:ilvl w:val="0"/>
          <w:numId w:val="11"/>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La Naturaleza como Determinante:</w:t>
      </w:r>
      <w:r w:rsidRPr="00E207A2">
        <w:rPr>
          <w:rFonts w:ascii="Arial" w:eastAsia="Times New Roman" w:hAnsi="Arial" w:cs="Arial"/>
          <w:sz w:val="24"/>
          <w:szCs w:val="24"/>
          <w:lang w:eastAsia="es-ES"/>
        </w:rPr>
        <w:t xml:space="preserve"> Se reconoce el riesgo como un "determinante ambiental". Esto significa que las características físicas (geología, hidrografía y clima) deben mandar sobre las decisiones políticas y sociales. Por ejemplo, los </w:t>
      </w:r>
      <w:r w:rsidRPr="00E207A2">
        <w:rPr>
          <w:rFonts w:ascii="Arial" w:eastAsia="Times New Roman" w:hAnsi="Arial" w:cs="Arial"/>
          <w:b/>
          <w:bCs/>
          <w:sz w:val="24"/>
          <w:szCs w:val="24"/>
          <w:lang w:eastAsia="es-ES"/>
        </w:rPr>
        <w:t>POMCA</w:t>
      </w:r>
      <w:r w:rsidRPr="00E207A2">
        <w:rPr>
          <w:rFonts w:ascii="Arial" w:eastAsia="Times New Roman" w:hAnsi="Arial" w:cs="Arial"/>
          <w:sz w:val="24"/>
          <w:szCs w:val="24"/>
          <w:lang w:eastAsia="es-ES"/>
        </w:rPr>
        <w:t xml:space="preserve"> (Planes de Ordenación de Cuencas) de ríos como el Hacha o el Solita son las "cartas de navegación" ambientales para </w:t>
      </w:r>
      <w:r w:rsidR="00C75659">
        <w:rPr>
          <w:rFonts w:ascii="Arial" w:eastAsia="Times New Roman" w:hAnsi="Arial" w:cs="Arial"/>
          <w:sz w:val="24"/>
          <w:szCs w:val="24"/>
          <w:lang w:eastAsia="es-ES"/>
        </w:rPr>
        <w:t>evitar inundaciones.</w:t>
      </w:r>
    </w:p>
    <w:p w:rsidR="002D3268" w:rsidRPr="00E207A2" w:rsidRDefault="002D3268" w:rsidP="00C75659">
      <w:pPr>
        <w:spacing w:after="0" w:line="240" w:lineRule="auto"/>
        <w:jc w:val="both"/>
        <w:rPr>
          <w:rFonts w:ascii="Arial" w:eastAsia="Times New Roman" w:hAnsi="Arial" w:cs="Arial"/>
          <w:sz w:val="24"/>
          <w:szCs w:val="24"/>
          <w:lang w:eastAsia="es-ES"/>
        </w:rPr>
      </w:pPr>
    </w:p>
    <w:p w:rsidR="002D3268" w:rsidRPr="00E207A2" w:rsidRDefault="002D3268" w:rsidP="00E207A2">
      <w:pPr>
        <w:numPr>
          <w:ilvl w:val="0"/>
          <w:numId w:val="11"/>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Adaptación al Cambio Climático:</w:t>
      </w:r>
      <w:r w:rsidRPr="00E207A2">
        <w:rPr>
          <w:rFonts w:ascii="Arial" w:eastAsia="Times New Roman" w:hAnsi="Arial" w:cs="Arial"/>
          <w:sz w:val="24"/>
          <w:szCs w:val="24"/>
          <w:lang w:eastAsia="es-ES"/>
        </w:rPr>
        <w:t xml:space="preserve"> El plan vincula la gestión del riesgo con el </w:t>
      </w:r>
      <w:r w:rsidRPr="00E207A2">
        <w:rPr>
          <w:rFonts w:ascii="Arial" w:eastAsia="Times New Roman" w:hAnsi="Arial" w:cs="Arial"/>
          <w:b/>
          <w:bCs/>
          <w:sz w:val="24"/>
          <w:szCs w:val="24"/>
          <w:lang w:eastAsia="es-ES"/>
        </w:rPr>
        <w:t>Acuerdo de París</w:t>
      </w:r>
      <w:r w:rsidRPr="00E207A2">
        <w:rPr>
          <w:rFonts w:ascii="Arial" w:eastAsia="Times New Roman" w:hAnsi="Arial" w:cs="Arial"/>
          <w:sz w:val="24"/>
          <w:szCs w:val="24"/>
          <w:lang w:eastAsia="es-ES"/>
        </w:rPr>
        <w:t xml:space="preserve"> y el Plan Departamental de Cambio Climático. Se entiende que fenómenos como la variabilidad climática extrema (sequías intensas o lluvias torrenciales) son factores que aumentan la vulnerabil</w:t>
      </w:r>
      <w:r w:rsidR="00C75659">
        <w:rPr>
          <w:rFonts w:ascii="Arial" w:eastAsia="Times New Roman" w:hAnsi="Arial" w:cs="Arial"/>
          <w:sz w:val="24"/>
          <w:szCs w:val="24"/>
          <w:lang w:eastAsia="es-ES"/>
        </w:rPr>
        <w:t>idad del territorio</w:t>
      </w:r>
      <w:r w:rsidRPr="00E207A2">
        <w:rPr>
          <w:rFonts w:ascii="Arial" w:eastAsia="Times New Roman" w:hAnsi="Arial" w:cs="Arial"/>
          <w:sz w:val="24"/>
          <w:szCs w:val="24"/>
          <w:lang w:eastAsia="es-ES"/>
        </w:rPr>
        <w:t>.</w:t>
      </w:r>
    </w:p>
    <w:p w:rsidR="002D3268" w:rsidRDefault="002D3268" w:rsidP="00E207A2">
      <w:pPr>
        <w:numPr>
          <w:ilvl w:val="0"/>
          <w:numId w:val="11"/>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Deforestación como Detonante:</w:t>
      </w:r>
      <w:r w:rsidRPr="00E207A2">
        <w:rPr>
          <w:rFonts w:ascii="Arial" w:eastAsia="Times New Roman" w:hAnsi="Arial" w:cs="Arial"/>
          <w:sz w:val="24"/>
          <w:szCs w:val="24"/>
          <w:lang w:eastAsia="es-ES"/>
        </w:rPr>
        <w:t xml:space="preserve"> Se identifica la deforestación (causada por ganadería extensiva y cultivos ilícitos) como el principal factor ambiental que acelera desastres como avenidas torrenciales y remoción en masa. El plan propone la </w:t>
      </w:r>
      <w:r w:rsidRPr="00E207A2">
        <w:rPr>
          <w:rFonts w:ascii="Arial" w:eastAsia="Times New Roman" w:hAnsi="Arial" w:cs="Arial"/>
          <w:b/>
          <w:bCs/>
          <w:sz w:val="24"/>
          <w:szCs w:val="24"/>
          <w:lang w:eastAsia="es-ES"/>
        </w:rPr>
        <w:t>conservación de ecosistemas</w:t>
      </w:r>
      <w:r w:rsidRPr="00E207A2">
        <w:rPr>
          <w:rFonts w:ascii="Arial" w:eastAsia="Times New Roman" w:hAnsi="Arial" w:cs="Arial"/>
          <w:sz w:val="24"/>
          <w:szCs w:val="24"/>
          <w:lang w:eastAsia="es-ES"/>
        </w:rPr>
        <w:t xml:space="preserve"> y la reforestación como medidas no estructurales para</w:t>
      </w:r>
      <w:r w:rsidR="00C75659">
        <w:rPr>
          <w:rFonts w:ascii="Arial" w:eastAsia="Times New Roman" w:hAnsi="Arial" w:cs="Arial"/>
          <w:sz w:val="24"/>
          <w:szCs w:val="24"/>
          <w:lang w:eastAsia="es-ES"/>
        </w:rPr>
        <w:t xml:space="preserve"> reducir el riesgo</w:t>
      </w:r>
      <w:r w:rsidRPr="00E207A2">
        <w:rPr>
          <w:rFonts w:ascii="Arial" w:eastAsia="Times New Roman" w:hAnsi="Arial" w:cs="Arial"/>
          <w:sz w:val="24"/>
          <w:szCs w:val="24"/>
          <w:lang w:eastAsia="es-ES"/>
        </w:rPr>
        <w:t>.</w:t>
      </w:r>
    </w:p>
    <w:p w:rsidR="00C75659" w:rsidRPr="00E207A2" w:rsidRDefault="00C75659" w:rsidP="00C75659">
      <w:pPr>
        <w:spacing w:after="0" w:line="240" w:lineRule="auto"/>
        <w:jc w:val="both"/>
        <w:rPr>
          <w:rFonts w:ascii="Arial" w:eastAsia="Times New Roman" w:hAnsi="Arial" w:cs="Arial"/>
          <w:sz w:val="24"/>
          <w:szCs w:val="24"/>
          <w:lang w:eastAsia="es-ES"/>
        </w:rPr>
      </w:pPr>
    </w:p>
    <w:p w:rsidR="002D3268" w:rsidRDefault="002D3268" w:rsidP="00E207A2">
      <w:pPr>
        <w:numPr>
          <w:ilvl w:val="0"/>
          <w:numId w:val="11"/>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Sostenibilidad y Megaproyectos:</w:t>
      </w:r>
      <w:r w:rsidRPr="00E207A2">
        <w:rPr>
          <w:rFonts w:ascii="Arial" w:eastAsia="Times New Roman" w:hAnsi="Arial" w:cs="Arial"/>
          <w:sz w:val="24"/>
          <w:szCs w:val="24"/>
          <w:lang w:eastAsia="es-ES"/>
        </w:rPr>
        <w:t xml:space="preserve"> El documento advierte sobre el impacto ambiental de futuros proyectos minero-energéticos. Establece que cualquier </w:t>
      </w:r>
      <w:r w:rsidRPr="00E207A2">
        <w:rPr>
          <w:rFonts w:ascii="Arial" w:eastAsia="Times New Roman" w:hAnsi="Arial" w:cs="Arial"/>
          <w:sz w:val="24"/>
          <w:szCs w:val="24"/>
          <w:lang w:eastAsia="es-ES"/>
        </w:rPr>
        <w:lastRenderedPageBreak/>
        <w:t>intervención en el subsuelo debe ser analizada bajo la lupa de la gestión del riesgo para evitar procesos lesivos contra la naturaleza que gener</w:t>
      </w:r>
      <w:r w:rsidR="00C75659">
        <w:rPr>
          <w:rFonts w:ascii="Arial" w:eastAsia="Times New Roman" w:hAnsi="Arial" w:cs="Arial"/>
          <w:sz w:val="24"/>
          <w:szCs w:val="24"/>
          <w:lang w:eastAsia="es-ES"/>
        </w:rPr>
        <w:t>en nuevos desastres</w:t>
      </w:r>
      <w:r w:rsidRPr="00E207A2">
        <w:rPr>
          <w:rFonts w:ascii="Arial" w:eastAsia="Times New Roman" w:hAnsi="Arial" w:cs="Arial"/>
          <w:sz w:val="24"/>
          <w:szCs w:val="24"/>
          <w:lang w:eastAsia="es-ES"/>
        </w:rPr>
        <w:t>.</w:t>
      </w:r>
    </w:p>
    <w:p w:rsidR="00C75659" w:rsidRPr="00E207A2" w:rsidRDefault="00C75659" w:rsidP="00C75659">
      <w:pPr>
        <w:spacing w:after="0" w:line="240" w:lineRule="auto"/>
        <w:jc w:val="both"/>
        <w:rPr>
          <w:rFonts w:ascii="Arial" w:eastAsia="Times New Roman" w:hAnsi="Arial" w:cs="Arial"/>
          <w:sz w:val="24"/>
          <w:szCs w:val="24"/>
          <w:lang w:eastAsia="es-ES"/>
        </w:rPr>
      </w:pPr>
    </w:p>
    <w:p w:rsidR="002D3268" w:rsidRPr="00E207A2" w:rsidRDefault="002D3268" w:rsidP="00E207A2">
      <w:pPr>
        <w:numPr>
          <w:ilvl w:val="0"/>
          <w:numId w:val="11"/>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Rol de CORPOAMAZONIA:</w:t>
      </w:r>
      <w:r w:rsidRPr="00E207A2">
        <w:rPr>
          <w:rFonts w:ascii="Arial" w:eastAsia="Times New Roman" w:hAnsi="Arial" w:cs="Arial"/>
          <w:sz w:val="24"/>
          <w:szCs w:val="24"/>
          <w:lang w:eastAsia="es-ES"/>
        </w:rPr>
        <w:t xml:space="preserve"> Existe un relacionamiento institucional directo con la autoridad ambiental para garantizar que el conocimiento técnico sobre los recursos naturales se traduzca en obras de mitigación y p</w:t>
      </w:r>
      <w:r w:rsidR="00C75659">
        <w:rPr>
          <w:rFonts w:ascii="Arial" w:eastAsia="Times New Roman" w:hAnsi="Arial" w:cs="Arial"/>
          <w:sz w:val="24"/>
          <w:szCs w:val="24"/>
          <w:lang w:eastAsia="es-ES"/>
        </w:rPr>
        <w:t>rotección de cuencas</w:t>
      </w:r>
      <w:r w:rsidRPr="00E207A2">
        <w:rPr>
          <w:rFonts w:ascii="Arial" w:eastAsia="Times New Roman" w:hAnsi="Arial" w:cs="Arial"/>
          <w:sz w:val="24"/>
          <w:szCs w:val="24"/>
          <w:lang w:eastAsia="es-ES"/>
        </w:rPr>
        <w:t>.</w:t>
      </w:r>
    </w:p>
    <w:p w:rsidR="002D3268" w:rsidRDefault="002D3268" w:rsidP="00E207A2">
      <w:pPr>
        <w:jc w:val="both"/>
        <w:rPr>
          <w:rFonts w:ascii="Arial" w:hAnsi="Arial" w:cs="Arial"/>
          <w:sz w:val="24"/>
          <w:szCs w:val="24"/>
        </w:rPr>
      </w:pPr>
    </w:p>
    <w:p w:rsidR="003205FF" w:rsidRPr="003205FF" w:rsidRDefault="00C75659" w:rsidP="003205FF">
      <w:pPr>
        <w:jc w:val="both"/>
        <w:rPr>
          <w:rFonts w:ascii="Arial" w:hAnsi="Arial" w:cs="Arial"/>
          <w:sz w:val="24"/>
          <w:szCs w:val="24"/>
        </w:rPr>
      </w:pPr>
      <w:r>
        <w:rPr>
          <w:rFonts w:ascii="Arial" w:hAnsi="Arial" w:cs="Arial"/>
          <w:sz w:val="24"/>
          <w:szCs w:val="24"/>
        </w:rPr>
        <w:t>La deforestación la expl</w:t>
      </w:r>
      <w:r w:rsidR="003205FF" w:rsidRPr="003205FF">
        <w:rPr>
          <w:rFonts w:ascii="Arial" w:hAnsi="Arial" w:cs="Arial"/>
          <w:sz w:val="24"/>
          <w:szCs w:val="24"/>
        </w:rPr>
        <w:t xml:space="preserve">otación irracional de los recursos naturales, exposición de contaminantes tóxicos, pérdida de la biodiversidad y la ruptura de la autorecuperación del </w:t>
      </w:r>
      <w:r w:rsidRPr="003205FF">
        <w:rPr>
          <w:rFonts w:ascii="Arial" w:hAnsi="Arial" w:cs="Arial"/>
          <w:sz w:val="24"/>
          <w:szCs w:val="24"/>
        </w:rPr>
        <w:t>sistema</w:t>
      </w:r>
      <w:r w:rsidR="003205FF" w:rsidRPr="003205FF">
        <w:rPr>
          <w:rFonts w:ascii="Arial" w:hAnsi="Arial" w:cs="Arial"/>
          <w:sz w:val="24"/>
          <w:szCs w:val="24"/>
        </w:rPr>
        <w:t xml:space="preserve"> ecológico. Son las variables que el PDGR tuvo en cuenta en su construcción.</w:t>
      </w:r>
    </w:p>
    <w:p w:rsidR="003205FF" w:rsidRPr="003205FF" w:rsidRDefault="003205FF" w:rsidP="003205FF">
      <w:pPr>
        <w:jc w:val="both"/>
        <w:rPr>
          <w:rFonts w:ascii="Arial" w:hAnsi="Arial" w:cs="Arial"/>
          <w:sz w:val="24"/>
          <w:szCs w:val="24"/>
        </w:rPr>
      </w:pPr>
      <w:r w:rsidRPr="003205FF">
        <w:rPr>
          <w:rFonts w:ascii="Arial" w:hAnsi="Arial" w:cs="Arial"/>
          <w:sz w:val="24"/>
          <w:szCs w:val="24"/>
        </w:rPr>
        <w:t xml:space="preserve">Municipios donde existen escenarios de riesgos por fenómenos amenazantes por socavación lateral e </w:t>
      </w:r>
      <w:r w:rsidR="00C75659" w:rsidRPr="003205FF">
        <w:rPr>
          <w:rFonts w:ascii="Arial" w:hAnsi="Arial" w:cs="Arial"/>
          <w:sz w:val="24"/>
          <w:szCs w:val="24"/>
        </w:rPr>
        <w:t>inestabilidad</w:t>
      </w:r>
      <w:r w:rsidRPr="003205FF">
        <w:rPr>
          <w:rFonts w:ascii="Arial" w:hAnsi="Arial" w:cs="Arial"/>
          <w:sz w:val="24"/>
          <w:szCs w:val="24"/>
        </w:rPr>
        <w:t xml:space="preserve"> de las orillas del río por situaciones naturales son:</w:t>
      </w:r>
      <w:r w:rsidR="00C75659">
        <w:rPr>
          <w:rFonts w:ascii="Arial" w:hAnsi="Arial" w:cs="Arial"/>
          <w:sz w:val="24"/>
          <w:szCs w:val="24"/>
        </w:rPr>
        <w:t xml:space="preserve"> </w:t>
      </w:r>
      <w:r w:rsidRPr="003205FF">
        <w:rPr>
          <w:rFonts w:ascii="Arial" w:hAnsi="Arial" w:cs="Arial"/>
          <w:sz w:val="24"/>
          <w:szCs w:val="24"/>
        </w:rPr>
        <w:t xml:space="preserve">Cartagena del Chaira, </w:t>
      </w:r>
      <w:proofErr w:type="spellStart"/>
      <w:r w:rsidRPr="003205FF">
        <w:rPr>
          <w:rFonts w:ascii="Arial" w:hAnsi="Arial" w:cs="Arial"/>
          <w:sz w:val="24"/>
          <w:szCs w:val="24"/>
        </w:rPr>
        <w:t>Curillo</w:t>
      </w:r>
      <w:proofErr w:type="spellEnd"/>
      <w:r w:rsidRPr="003205FF">
        <w:rPr>
          <w:rFonts w:ascii="Arial" w:hAnsi="Arial" w:cs="Arial"/>
          <w:sz w:val="24"/>
          <w:szCs w:val="24"/>
        </w:rPr>
        <w:t>, El D</w:t>
      </w:r>
      <w:r w:rsidR="00C75659">
        <w:rPr>
          <w:rFonts w:ascii="Arial" w:hAnsi="Arial" w:cs="Arial"/>
          <w:sz w:val="24"/>
          <w:szCs w:val="24"/>
        </w:rPr>
        <w:t xml:space="preserve">oncello, El Paujil, Florencia, </w:t>
      </w:r>
      <w:r w:rsidRPr="003205FF">
        <w:rPr>
          <w:rFonts w:ascii="Arial" w:hAnsi="Arial" w:cs="Arial"/>
          <w:sz w:val="24"/>
          <w:szCs w:val="24"/>
        </w:rPr>
        <w:t>Milán, La Montañita, Morelia, Puerto Rico, San José de Fragua, San Vicente del Caguán, Solano, Solita, Valparaíso.</w:t>
      </w:r>
      <w:r w:rsidR="00C75659">
        <w:rPr>
          <w:rFonts w:ascii="Arial" w:hAnsi="Arial" w:cs="Arial"/>
          <w:sz w:val="24"/>
          <w:szCs w:val="24"/>
        </w:rPr>
        <w:t xml:space="preserve"> </w:t>
      </w:r>
      <w:r w:rsidRPr="003205FF">
        <w:rPr>
          <w:rFonts w:ascii="Arial" w:hAnsi="Arial" w:cs="Arial"/>
          <w:sz w:val="24"/>
          <w:szCs w:val="24"/>
        </w:rPr>
        <w:t xml:space="preserve">Sin </w:t>
      </w:r>
      <w:r w:rsidR="00C75659" w:rsidRPr="003205FF">
        <w:rPr>
          <w:rFonts w:ascii="Arial" w:hAnsi="Arial" w:cs="Arial"/>
          <w:sz w:val="24"/>
          <w:szCs w:val="24"/>
        </w:rPr>
        <w:t>embargo,</w:t>
      </w:r>
      <w:r w:rsidRPr="003205FF">
        <w:rPr>
          <w:rFonts w:ascii="Arial" w:hAnsi="Arial" w:cs="Arial"/>
          <w:sz w:val="24"/>
          <w:szCs w:val="24"/>
        </w:rPr>
        <w:t xml:space="preserve"> no toman en cuenta el t</w:t>
      </w:r>
      <w:r w:rsidR="00C75659">
        <w:rPr>
          <w:rFonts w:ascii="Arial" w:hAnsi="Arial" w:cs="Arial"/>
          <w:sz w:val="24"/>
          <w:szCs w:val="24"/>
        </w:rPr>
        <w:t>ema</w:t>
      </w:r>
      <w:r w:rsidRPr="003205FF">
        <w:rPr>
          <w:rFonts w:ascii="Arial" w:hAnsi="Arial" w:cs="Arial"/>
          <w:sz w:val="24"/>
          <w:szCs w:val="24"/>
        </w:rPr>
        <w:t xml:space="preserve"> de la </w:t>
      </w:r>
      <w:r w:rsidR="00C75659" w:rsidRPr="003205FF">
        <w:rPr>
          <w:rFonts w:ascii="Arial" w:hAnsi="Arial" w:cs="Arial"/>
          <w:sz w:val="24"/>
          <w:szCs w:val="24"/>
        </w:rPr>
        <w:t>Minería</w:t>
      </w:r>
      <w:r w:rsidRPr="003205FF">
        <w:rPr>
          <w:rFonts w:ascii="Arial" w:hAnsi="Arial" w:cs="Arial"/>
          <w:sz w:val="24"/>
          <w:szCs w:val="24"/>
        </w:rPr>
        <w:t xml:space="preserve"> como uno de los causantes antrópicos para la socavación e inestabi</w:t>
      </w:r>
      <w:r w:rsidR="00C75659">
        <w:rPr>
          <w:rFonts w:ascii="Arial" w:hAnsi="Arial" w:cs="Arial"/>
          <w:sz w:val="24"/>
          <w:szCs w:val="24"/>
        </w:rPr>
        <w:t>l</w:t>
      </w:r>
      <w:r w:rsidRPr="003205FF">
        <w:rPr>
          <w:rFonts w:ascii="Arial" w:hAnsi="Arial" w:cs="Arial"/>
          <w:sz w:val="24"/>
          <w:szCs w:val="24"/>
        </w:rPr>
        <w:t xml:space="preserve">idad de </w:t>
      </w:r>
      <w:r w:rsidR="00C75659">
        <w:rPr>
          <w:rFonts w:ascii="Arial" w:hAnsi="Arial" w:cs="Arial"/>
          <w:sz w:val="24"/>
          <w:szCs w:val="24"/>
        </w:rPr>
        <w:t>l</w:t>
      </w:r>
      <w:r w:rsidRPr="003205FF">
        <w:rPr>
          <w:rFonts w:ascii="Arial" w:hAnsi="Arial" w:cs="Arial"/>
          <w:sz w:val="24"/>
          <w:szCs w:val="24"/>
        </w:rPr>
        <w:t>as orillas.</w:t>
      </w:r>
    </w:p>
    <w:p w:rsidR="003205FF" w:rsidRPr="003205FF" w:rsidRDefault="003205FF" w:rsidP="003205FF">
      <w:pPr>
        <w:jc w:val="both"/>
        <w:rPr>
          <w:rFonts w:ascii="Arial" w:hAnsi="Arial" w:cs="Arial"/>
          <w:sz w:val="24"/>
          <w:szCs w:val="24"/>
        </w:rPr>
      </w:pPr>
      <w:r w:rsidRPr="003205FF">
        <w:rPr>
          <w:rFonts w:ascii="Arial" w:hAnsi="Arial" w:cs="Arial"/>
          <w:sz w:val="24"/>
          <w:szCs w:val="24"/>
        </w:rPr>
        <w:t>De acuerdo con las condiciones ambientales y los</w:t>
      </w:r>
      <w:r w:rsidR="00C75659">
        <w:rPr>
          <w:rFonts w:ascii="Arial" w:hAnsi="Arial" w:cs="Arial"/>
          <w:sz w:val="24"/>
          <w:szCs w:val="24"/>
        </w:rPr>
        <w:t xml:space="preserve"> antecedentes de desastres, se </w:t>
      </w:r>
      <w:r w:rsidRPr="003205FF">
        <w:rPr>
          <w:rFonts w:ascii="Arial" w:hAnsi="Arial" w:cs="Arial"/>
          <w:sz w:val="24"/>
          <w:szCs w:val="24"/>
        </w:rPr>
        <w:t>puede establecer que los principales fenómenos que define</w:t>
      </w:r>
      <w:r w:rsidR="00C75659">
        <w:rPr>
          <w:rFonts w:ascii="Arial" w:hAnsi="Arial" w:cs="Arial"/>
          <w:sz w:val="24"/>
          <w:szCs w:val="24"/>
        </w:rPr>
        <w:t xml:space="preserve">n las condiciones de amenaza en </w:t>
      </w:r>
      <w:r w:rsidRPr="003205FF">
        <w:rPr>
          <w:rFonts w:ascii="Arial" w:hAnsi="Arial" w:cs="Arial"/>
          <w:sz w:val="24"/>
          <w:szCs w:val="24"/>
        </w:rPr>
        <w:t xml:space="preserve">los municipios del departamento del Caquetá son: </w:t>
      </w:r>
    </w:p>
    <w:p w:rsidR="003205FF" w:rsidRPr="003205FF" w:rsidRDefault="003205FF" w:rsidP="003205FF">
      <w:pPr>
        <w:jc w:val="both"/>
        <w:rPr>
          <w:rFonts w:ascii="Arial" w:hAnsi="Arial" w:cs="Arial"/>
          <w:sz w:val="24"/>
          <w:szCs w:val="24"/>
        </w:rPr>
      </w:pPr>
      <w:r w:rsidRPr="003205FF">
        <w:rPr>
          <w:rFonts w:ascii="Arial" w:hAnsi="Arial" w:cs="Arial"/>
          <w:sz w:val="24"/>
          <w:szCs w:val="24"/>
        </w:rPr>
        <w:t xml:space="preserve">• Procesos de movimientos en masa. </w:t>
      </w:r>
    </w:p>
    <w:p w:rsidR="003205FF" w:rsidRPr="003205FF" w:rsidRDefault="003205FF" w:rsidP="003205FF">
      <w:pPr>
        <w:jc w:val="both"/>
        <w:rPr>
          <w:rFonts w:ascii="Arial" w:hAnsi="Arial" w:cs="Arial"/>
          <w:sz w:val="24"/>
          <w:szCs w:val="24"/>
        </w:rPr>
      </w:pPr>
      <w:r w:rsidRPr="003205FF">
        <w:rPr>
          <w:rFonts w:ascii="Arial" w:hAnsi="Arial" w:cs="Arial"/>
          <w:sz w:val="24"/>
          <w:szCs w:val="24"/>
        </w:rPr>
        <w:t>• Socavación lateral de Cauce:</w:t>
      </w:r>
    </w:p>
    <w:p w:rsidR="003205FF" w:rsidRPr="003205FF" w:rsidRDefault="003205FF" w:rsidP="003205FF">
      <w:pPr>
        <w:jc w:val="both"/>
        <w:rPr>
          <w:rFonts w:ascii="Arial" w:hAnsi="Arial" w:cs="Arial"/>
          <w:sz w:val="24"/>
          <w:szCs w:val="24"/>
        </w:rPr>
      </w:pPr>
      <w:r w:rsidRPr="003205FF">
        <w:rPr>
          <w:rFonts w:ascii="Arial" w:hAnsi="Arial" w:cs="Arial"/>
          <w:sz w:val="24"/>
          <w:szCs w:val="24"/>
        </w:rPr>
        <w:t>Riesgos a Futuro:</w:t>
      </w:r>
    </w:p>
    <w:p w:rsidR="003205FF" w:rsidRPr="003205FF" w:rsidRDefault="003205FF" w:rsidP="003205FF">
      <w:pPr>
        <w:jc w:val="both"/>
        <w:rPr>
          <w:rFonts w:ascii="Arial" w:hAnsi="Arial" w:cs="Arial"/>
          <w:sz w:val="24"/>
          <w:szCs w:val="24"/>
        </w:rPr>
      </w:pPr>
      <w:r w:rsidRPr="003205FF">
        <w:rPr>
          <w:rFonts w:ascii="Arial" w:hAnsi="Arial" w:cs="Arial"/>
          <w:sz w:val="24"/>
          <w:szCs w:val="24"/>
        </w:rPr>
        <w:t>Otro de los grandes procesos que genera conflictos y que ya es evidencia en el departamento del Caquetá son los procesos extractivos minero energético, que a raíz del fin del conflicto armado se verá incrementada su actividad y por ende las consecuencias inevitables de grandes conflictos territoriales a nivel de d</w:t>
      </w:r>
      <w:r w:rsidR="00C75659">
        <w:rPr>
          <w:rFonts w:ascii="Arial" w:hAnsi="Arial" w:cs="Arial"/>
          <w:sz w:val="24"/>
          <w:szCs w:val="24"/>
        </w:rPr>
        <w:t xml:space="preserve">epartamento y un alto potencial </w:t>
      </w:r>
      <w:r w:rsidRPr="003205FF">
        <w:rPr>
          <w:rFonts w:ascii="Arial" w:hAnsi="Arial" w:cs="Arial"/>
          <w:sz w:val="24"/>
          <w:szCs w:val="24"/>
        </w:rPr>
        <w:t>de actividades de deforestación.</w:t>
      </w:r>
    </w:p>
    <w:p w:rsidR="00C75659" w:rsidRDefault="00C75659" w:rsidP="00E207A2">
      <w:pPr>
        <w:jc w:val="both"/>
        <w:rPr>
          <w:rFonts w:ascii="Arial" w:hAnsi="Arial" w:cs="Arial"/>
          <w:b/>
          <w:color w:val="FF0000"/>
          <w:sz w:val="24"/>
          <w:szCs w:val="24"/>
        </w:rPr>
      </w:pPr>
    </w:p>
    <w:p w:rsidR="00755AE7" w:rsidRPr="00E207A2" w:rsidRDefault="00755AE7" w:rsidP="00E207A2">
      <w:pPr>
        <w:jc w:val="both"/>
        <w:rPr>
          <w:rFonts w:ascii="Arial" w:hAnsi="Arial" w:cs="Arial"/>
          <w:b/>
          <w:color w:val="FF0000"/>
          <w:sz w:val="24"/>
          <w:szCs w:val="24"/>
        </w:rPr>
      </w:pPr>
      <w:r w:rsidRPr="00E207A2">
        <w:rPr>
          <w:rFonts w:ascii="Arial" w:hAnsi="Arial" w:cs="Arial"/>
          <w:b/>
          <w:color w:val="FF0000"/>
          <w:sz w:val="24"/>
          <w:szCs w:val="24"/>
        </w:rPr>
        <w:t>PUNTOS DE INTERÉS:</w:t>
      </w:r>
    </w:p>
    <w:p w:rsidR="00755AE7" w:rsidRPr="00E207A2" w:rsidRDefault="00755AE7" w:rsidP="00E207A2">
      <w:pPr>
        <w:spacing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 xml:space="preserve">En el PDGRD de Caquetá, el relacionamiento en lo ambiental es el eje articulador entre la riqueza natural de la Amazonía y la seguridad de sus habitantes. El documento establece que el medio ambiente no es solo un receptor de impactos, sino un </w:t>
      </w:r>
      <w:r w:rsidRPr="00E207A2">
        <w:rPr>
          <w:rFonts w:ascii="Arial" w:eastAsia="Times New Roman" w:hAnsi="Arial" w:cs="Arial"/>
          <w:b/>
          <w:bCs/>
          <w:sz w:val="24"/>
          <w:szCs w:val="24"/>
          <w:lang w:eastAsia="es-ES"/>
        </w:rPr>
        <w:t>condicionante del desarrollo</w:t>
      </w:r>
      <w:r w:rsidRPr="00E207A2">
        <w:rPr>
          <w:rFonts w:ascii="Arial" w:eastAsia="Times New Roman" w:hAnsi="Arial" w:cs="Arial"/>
          <w:sz w:val="24"/>
          <w:szCs w:val="24"/>
          <w:lang w:eastAsia="es-ES"/>
        </w:rPr>
        <w:t xml:space="preserve"> y una herramienta de protección.</w:t>
      </w:r>
    </w:p>
    <w:p w:rsidR="00755AE7" w:rsidRPr="00E207A2" w:rsidRDefault="00755AE7" w:rsidP="00E207A2">
      <w:pPr>
        <w:spacing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Los puntos clave de este relacionamiento son:</w:t>
      </w:r>
    </w:p>
    <w:p w:rsidR="00755AE7" w:rsidRDefault="00755AE7" w:rsidP="00E207A2">
      <w:pPr>
        <w:numPr>
          <w:ilvl w:val="0"/>
          <w:numId w:val="12"/>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La Naturaleza como Determinante:</w:t>
      </w:r>
      <w:r w:rsidRPr="00E207A2">
        <w:rPr>
          <w:rFonts w:ascii="Arial" w:eastAsia="Times New Roman" w:hAnsi="Arial" w:cs="Arial"/>
          <w:sz w:val="24"/>
          <w:szCs w:val="24"/>
          <w:lang w:eastAsia="es-ES"/>
        </w:rPr>
        <w:t xml:space="preserve"> Se reconoce el riesgo como un "determinante ambiental". Esto significa que las características físicas (geología, hidrografía y clima) deben mandar sobre las decisiones políticas y sociales. Por </w:t>
      </w:r>
      <w:r w:rsidRPr="00E207A2">
        <w:rPr>
          <w:rFonts w:ascii="Arial" w:eastAsia="Times New Roman" w:hAnsi="Arial" w:cs="Arial"/>
          <w:sz w:val="24"/>
          <w:szCs w:val="24"/>
          <w:lang w:eastAsia="es-ES"/>
        </w:rPr>
        <w:lastRenderedPageBreak/>
        <w:t xml:space="preserve">ejemplo, los </w:t>
      </w:r>
      <w:r w:rsidRPr="00E207A2">
        <w:rPr>
          <w:rFonts w:ascii="Arial" w:eastAsia="Times New Roman" w:hAnsi="Arial" w:cs="Arial"/>
          <w:b/>
          <w:bCs/>
          <w:sz w:val="24"/>
          <w:szCs w:val="24"/>
          <w:lang w:eastAsia="es-ES"/>
        </w:rPr>
        <w:t>POMCA</w:t>
      </w:r>
      <w:r w:rsidRPr="00E207A2">
        <w:rPr>
          <w:rFonts w:ascii="Arial" w:eastAsia="Times New Roman" w:hAnsi="Arial" w:cs="Arial"/>
          <w:sz w:val="24"/>
          <w:szCs w:val="24"/>
          <w:lang w:eastAsia="es-ES"/>
        </w:rPr>
        <w:t xml:space="preserve"> (Planes de Ordenación de Cuencas) de ríos como el Hacha o el Solita son las "cartas de navegación" ambientales para </w:t>
      </w:r>
      <w:r w:rsidR="00957683">
        <w:rPr>
          <w:rFonts w:ascii="Arial" w:eastAsia="Times New Roman" w:hAnsi="Arial" w:cs="Arial"/>
          <w:sz w:val="24"/>
          <w:szCs w:val="24"/>
          <w:lang w:eastAsia="es-ES"/>
        </w:rPr>
        <w:t>evitar inundaciones</w:t>
      </w:r>
      <w:r w:rsidRPr="00E207A2">
        <w:rPr>
          <w:rFonts w:ascii="Arial" w:eastAsia="Times New Roman" w:hAnsi="Arial" w:cs="Arial"/>
          <w:sz w:val="24"/>
          <w:szCs w:val="24"/>
          <w:lang w:eastAsia="es-ES"/>
        </w:rPr>
        <w:t>.</w:t>
      </w:r>
    </w:p>
    <w:p w:rsidR="00957683" w:rsidRPr="00E207A2" w:rsidRDefault="00957683" w:rsidP="00957683">
      <w:pPr>
        <w:spacing w:after="0" w:line="240" w:lineRule="auto"/>
        <w:jc w:val="both"/>
        <w:rPr>
          <w:rFonts w:ascii="Arial" w:eastAsia="Times New Roman" w:hAnsi="Arial" w:cs="Arial"/>
          <w:sz w:val="24"/>
          <w:szCs w:val="24"/>
          <w:lang w:eastAsia="es-ES"/>
        </w:rPr>
      </w:pPr>
    </w:p>
    <w:p w:rsidR="00957683" w:rsidRDefault="00755AE7" w:rsidP="00E207A2">
      <w:pPr>
        <w:numPr>
          <w:ilvl w:val="0"/>
          <w:numId w:val="12"/>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Sostenibilidad y Megaproyectos:</w:t>
      </w:r>
      <w:r w:rsidRPr="00E207A2">
        <w:rPr>
          <w:rFonts w:ascii="Arial" w:eastAsia="Times New Roman" w:hAnsi="Arial" w:cs="Arial"/>
          <w:sz w:val="24"/>
          <w:szCs w:val="24"/>
          <w:lang w:eastAsia="es-ES"/>
        </w:rPr>
        <w:t xml:space="preserve"> El documento advierte sobre el impacto ambiental de futuros proyectos minero-energéticos. Establece que cualquier intervención en el subsuelo debe ser analizada bajo la lupa de la gestión del riesgo para evitar procesos lesivos contra la naturaleza que gener</w:t>
      </w:r>
      <w:r w:rsidR="00957683">
        <w:rPr>
          <w:rFonts w:ascii="Arial" w:eastAsia="Times New Roman" w:hAnsi="Arial" w:cs="Arial"/>
          <w:sz w:val="24"/>
          <w:szCs w:val="24"/>
          <w:lang w:eastAsia="es-ES"/>
        </w:rPr>
        <w:t>en nuevos desastres.</w:t>
      </w:r>
    </w:p>
    <w:p w:rsidR="00755AE7" w:rsidRPr="00E207A2" w:rsidRDefault="00755AE7" w:rsidP="00957683">
      <w:pPr>
        <w:spacing w:after="0" w:line="240" w:lineRule="auto"/>
        <w:jc w:val="both"/>
        <w:rPr>
          <w:rFonts w:ascii="Arial" w:eastAsia="Times New Roman" w:hAnsi="Arial" w:cs="Arial"/>
          <w:sz w:val="24"/>
          <w:szCs w:val="24"/>
          <w:lang w:eastAsia="es-ES"/>
        </w:rPr>
      </w:pPr>
    </w:p>
    <w:p w:rsidR="00755AE7" w:rsidRDefault="00755AE7" w:rsidP="00E207A2">
      <w:pPr>
        <w:numPr>
          <w:ilvl w:val="0"/>
          <w:numId w:val="12"/>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Rol de CORPOAMAZONIA:</w:t>
      </w:r>
      <w:r w:rsidRPr="00E207A2">
        <w:rPr>
          <w:rFonts w:ascii="Arial" w:eastAsia="Times New Roman" w:hAnsi="Arial" w:cs="Arial"/>
          <w:sz w:val="24"/>
          <w:szCs w:val="24"/>
          <w:lang w:eastAsia="es-ES"/>
        </w:rPr>
        <w:t xml:space="preserve"> Existe un relacionamiento institucional directo con la autoridad ambiental para garantizar que el conocimiento técnico sobre los recursos naturales se traduzca en obras de mitigación y p</w:t>
      </w:r>
      <w:r w:rsidR="00957683">
        <w:rPr>
          <w:rFonts w:ascii="Arial" w:eastAsia="Times New Roman" w:hAnsi="Arial" w:cs="Arial"/>
          <w:sz w:val="24"/>
          <w:szCs w:val="24"/>
          <w:lang w:eastAsia="es-ES"/>
        </w:rPr>
        <w:t>rotección de cuencas</w:t>
      </w:r>
      <w:r w:rsidRPr="00E207A2">
        <w:rPr>
          <w:rFonts w:ascii="Arial" w:eastAsia="Times New Roman" w:hAnsi="Arial" w:cs="Arial"/>
          <w:sz w:val="24"/>
          <w:szCs w:val="24"/>
          <w:lang w:eastAsia="es-ES"/>
        </w:rPr>
        <w:t>.</w:t>
      </w:r>
    </w:p>
    <w:p w:rsidR="00957683" w:rsidRPr="00957683" w:rsidRDefault="00957683" w:rsidP="00957683">
      <w:pPr>
        <w:spacing w:before="480" w:after="480" w:line="240" w:lineRule="auto"/>
        <w:jc w:val="both"/>
        <w:rPr>
          <w:rFonts w:ascii="Arial" w:eastAsia="Times New Roman" w:hAnsi="Arial" w:cs="Arial"/>
          <w:sz w:val="24"/>
          <w:szCs w:val="24"/>
          <w:lang w:eastAsia="es-ES"/>
        </w:rPr>
      </w:pPr>
      <w:r w:rsidRPr="00957683">
        <w:rPr>
          <w:rFonts w:ascii="Arial" w:eastAsia="Times New Roman" w:hAnsi="Arial" w:cs="Arial"/>
          <w:sz w:val="24"/>
          <w:szCs w:val="24"/>
          <w:lang w:eastAsia="es-ES"/>
        </w:rPr>
        <w:t>El Plan de Gestión del Riesgo se enfoca en 5 obj</w:t>
      </w:r>
      <w:r w:rsidR="00D84718">
        <w:rPr>
          <w:rFonts w:ascii="Arial" w:eastAsia="Times New Roman" w:hAnsi="Arial" w:cs="Arial"/>
          <w:sz w:val="24"/>
          <w:szCs w:val="24"/>
          <w:lang w:eastAsia="es-ES"/>
        </w:rPr>
        <w:t xml:space="preserve">etivos: Mejorar el conocimiento </w:t>
      </w:r>
      <w:r w:rsidRPr="00957683">
        <w:rPr>
          <w:rFonts w:ascii="Arial" w:eastAsia="Times New Roman" w:hAnsi="Arial" w:cs="Arial"/>
          <w:sz w:val="24"/>
          <w:szCs w:val="24"/>
          <w:lang w:eastAsia="es-ES"/>
        </w:rPr>
        <w:t>del riesgo, Reducir la construcción de nuevas condiciones en el desarrollo territorial, sectorial y ambiental sostenible, Reducir las condiciones existentes de riesgo de desastres, Garantizar un oportuno, eficaz y adecuado manejo de desastres, Fortalecer la Gobernanza, la educación social en la Gestión del Riesgo con enfoque diferencial de género y diversidad cultural.</w:t>
      </w:r>
    </w:p>
    <w:p w:rsidR="00755AE7" w:rsidRPr="00E207A2" w:rsidRDefault="00957683" w:rsidP="00957683">
      <w:pPr>
        <w:spacing w:before="480" w:after="480" w:line="240" w:lineRule="auto"/>
        <w:jc w:val="both"/>
        <w:rPr>
          <w:rFonts w:ascii="Arial" w:eastAsia="Times New Roman" w:hAnsi="Arial" w:cs="Arial"/>
          <w:sz w:val="24"/>
          <w:szCs w:val="24"/>
          <w:lang w:eastAsia="es-ES"/>
        </w:rPr>
      </w:pPr>
      <w:r w:rsidRPr="00957683">
        <w:rPr>
          <w:rFonts w:ascii="Arial" w:eastAsia="Times New Roman" w:hAnsi="Arial" w:cs="Arial"/>
          <w:sz w:val="24"/>
          <w:szCs w:val="24"/>
          <w:lang w:eastAsia="es-ES"/>
        </w:rPr>
        <w:t xml:space="preserve">El PDGR realiza una </w:t>
      </w:r>
      <w:r w:rsidR="00D84718" w:rsidRPr="00957683">
        <w:rPr>
          <w:rFonts w:ascii="Arial" w:eastAsia="Times New Roman" w:hAnsi="Arial" w:cs="Arial"/>
          <w:sz w:val="24"/>
          <w:szCs w:val="24"/>
          <w:lang w:eastAsia="es-ES"/>
        </w:rPr>
        <w:t>identificación</w:t>
      </w:r>
      <w:r w:rsidRPr="00957683">
        <w:rPr>
          <w:rFonts w:ascii="Arial" w:eastAsia="Times New Roman" w:hAnsi="Arial" w:cs="Arial"/>
          <w:sz w:val="24"/>
          <w:szCs w:val="24"/>
          <w:lang w:eastAsia="es-ES"/>
        </w:rPr>
        <w:t xml:space="preserve"> general, y entre ellas el tema de la minería, y la problemática </w:t>
      </w:r>
      <w:r w:rsidR="00D84718" w:rsidRPr="00957683">
        <w:rPr>
          <w:rFonts w:ascii="Arial" w:eastAsia="Times New Roman" w:hAnsi="Arial" w:cs="Arial"/>
          <w:sz w:val="24"/>
          <w:szCs w:val="24"/>
          <w:lang w:eastAsia="es-ES"/>
        </w:rPr>
        <w:t>entre el</w:t>
      </w:r>
      <w:r w:rsidRPr="00957683">
        <w:rPr>
          <w:rFonts w:ascii="Arial" w:eastAsia="Times New Roman" w:hAnsi="Arial" w:cs="Arial"/>
          <w:sz w:val="24"/>
          <w:szCs w:val="24"/>
          <w:lang w:eastAsia="es-ES"/>
        </w:rPr>
        <w:t xml:space="preserve"> Estado y las comunidades, en su mayoría las actividades mineras se desarrollan de manera ilegal, como es la extracción del oro.</w:t>
      </w:r>
    </w:p>
    <w:p w:rsidR="00755AE7" w:rsidRPr="00E207A2" w:rsidRDefault="00755AE7" w:rsidP="00E207A2">
      <w:pPr>
        <w:spacing w:before="480" w:after="480" w:line="240" w:lineRule="auto"/>
        <w:jc w:val="both"/>
        <w:rPr>
          <w:rFonts w:ascii="Arial" w:eastAsia="Times New Roman" w:hAnsi="Arial" w:cs="Arial"/>
          <w:b/>
          <w:bCs/>
          <w:sz w:val="24"/>
          <w:szCs w:val="24"/>
          <w:lang w:eastAsia="es-ES"/>
        </w:rPr>
      </w:pPr>
      <w:r w:rsidRPr="00E207A2">
        <w:rPr>
          <w:rFonts w:ascii="Arial" w:eastAsia="Times New Roman" w:hAnsi="Arial" w:cs="Arial"/>
          <w:b/>
          <w:bCs/>
          <w:sz w:val="24"/>
          <w:szCs w:val="24"/>
          <w:lang w:eastAsia="es-ES"/>
        </w:rPr>
        <w:t>1. El Riesgo como "Construcción Social"</w:t>
      </w:r>
    </w:p>
    <w:p w:rsidR="00755AE7" w:rsidRPr="00E207A2" w:rsidRDefault="00755AE7" w:rsidP="00E207A2">
      <w:pPr>
        <w:spacing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 xml:space="preserve">El documento rompe con la idea de que los desastres son "naturales". Plantea que el riesgo en el Caquetá es el resultado de un </w:t>
      </w:r>
      <w:r w:rsidRPr="00E207A2">
        <w:rPr>
          <w:rFonts w:ascii="Arial" w:eastAsia="Times New Roman" w:hAnsi="Arial" w:cs="Arial"/>
          <w:b/>
          <w:bCs/>
          <w:sz w:val="24"/>
          <w:szCs w:val="24"/>
          <w:lang w:eastAsia="es-ES"/>
        </w:rPr>
        <w:t>proceso histórico de colonización desordenada</w:t>
      </w:r>
      <w:r w:rsidRPr="00E207A2">
        <w:rPr>
          <w:rFonts w:ascii="Arial" w:eastAsia="Times New Roman" w:hAnsi="Arial" w:cs="Arial"/>
          <w:sz w:val="24"/>
          <w:szCs w:val="24"/>
          <w:lang w:eastAsia="es-ES"/>
        </w:rPr>
        <w:t xml:space="preserve"> e incoherente (desde la bonanza del caucho hasta los cultivos ilícitos). Esto significa que el problema no es el río que se desborda, sino cómo la sociedad se asentó políticamente en su orilla.</w:t>
      </w:r>
    </w:p>
    <w:p w:rsidR="00755AE7" w:rsidRPr="00E207A2" w:rsidRDefault="00755AE7" w:rsidP="00E207A2">
      <w:pPr>
        <w:spacing w:line="240" w:lineRule="auto"/>
        <w:jc w:val="both"/>
        <w:rPr>
          <w:rFonts w:ascii="Arial" w:eastAsia="Times New Roman" w:hAnsi="Arial" w:cs="Arial"/>
          <w:b/>
          <w:bCs/>
          <w:sz w:val="24"/>
          <w:szCs w:val="24"/>
          <w:lang w:eastAsia="es-ES"/>
        </w:rPr>
      </w:pPr>
      <w:r w:rsidRPr="00E207A2">
        <w:rPr>
          <w:rFonts w:ascii="Arial" w:eastAsia="Times New Roman" w:hAnsi="Arial" w:cs="Arial"/>
          <w:b/>
          <w:bCs/>
          <w:sz w:val="24"/>
          <w:szCs w:val="24"/>
          <w:lang w:eastAsia="es-ES"/>
        </w:rPr>
        <w:t>2. El Impacto del Posconflicto</w:t>
      </w:r>
    </w:p>
    <w:p w:rsidR="00755AE7" w:rsidRPr="00E207A2" w:rsidRDefault="00755AE7" w:rsidP="00E207A2">
      <w:pPr>
        <w:spacing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 xml:space="preserve">Un punto de gran interés es la advertencia sobre el </w:t>
      </w:r>
      <w:r w:rsidRPr="00E207A2">
        <w:rPr>
          <w:rFonts w:ascii="Arial" w:eastAsia="Times New Roman" w:hAnsi="Arial" w:cs="Arial"/>
          <w:b/>
          <w:bCs/>
          <w:sz w:val="24"/>
          <w:szCs w:val="24"/>
          <w:lang w:eastAsia="es-ES"/>
        </w:rPr>
        <w:t>fin del conflicto armado</w:t>
      </w:r>
      <w:r w:rsidRPr="00E207A2">
        <w:rPr>
          <w:rFonts w:ascii="Arial" w:eastAsia="Times New Roman" w:hAnsi="Arial" w:cs="Arial"/>
          <w:sz w:val="24"/>
          <w:szCs w:val="24"/>
          <w:lang w:eastAsia="es-ES"/>
        </w:rPr>
        <w:t>. El plan señala que la paz permite la llegada de megaproyectos minero-energéticos y nuevos asentamientos en zonas antes inaccesibles. Si no se planean bien, estos "nuevos territorios de paz" podrían convertirse en "nuevos escenarios de desastre".</w:t>
      </w:r>
    </w:p>
    <w:p w:rsidR="00755AE7" w:rsidRPr="00E207A2" w:rsidRDefault="00755AE7" w:rsidP="00E207A2">
      <w:pPr>
        <w:spacing w:line="240" w:lineRule="auto"/>
        <w:jc w:val="both"/>
        <w:rPr>
          <w:rFonts w:ascii="Arial" w:eastAsia="Times New Roman" w:hAnsi="Arial" w:cs="Arial"/>
          <w:b/>
          <w:bCs/>
          <w:sz w:val="24"/>
          <w:szCs w:val="24"/>
          <w:lang w:eastAsia="es-ES"/>
        </w:rPr>
      </w:pPr>
      <w:r w:rsidRPr="00E207A2">
        <w:rPr>
          <w:rFonts w:ascii="Arial" w:eastAsia="Times New Roman" w:hAnsi="Arial" w:cs="Arial"/>
          <w:b/>
          <w:bCs/>
          <w:sz w:val="24"/>
          <w:szCs w:val="24"/>
          <w:lang w:eastAsia="es-ES"/>
        </w:rPr>
        <w:t>3. La Deforestación como "Enemigo N° 1"</w:t>
      </w:r>
    </w:p>
    <w:p w:rsidR="00755AE7" w:rsidRPr="00E207A2" w:rsidRDefault="00755AE7" w:rsidP="00E207A2">
      <w:pPr>
        <w:spacing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 xml:space="preserve">A diferencia de otros planes que se enfocan solo en obras de cemento, este identifica la </w:t>
      </w:r>
      <w:r w:rsidRPr="00E207A2">
        <w:rPr>
          <w:rFonts w:ascii="Arial" w:eastAsia="Times New Roman" w:hAnsi="Arial" w:cs="Arial"/>
          <w:b/>
          <w:bCs/>
          <w:sz w:val="24"/>
          <w:szCs w:val="24"/>
          <w:lang w:eastAsia="es-ES"/>
        </w:rPr>
        <w:t>deforestación</w:t>
      </w:r>
      <w:r w:rsidRPr="00E207A2">
        <w:rPr>
          <w:rFonts w:ascii="Arial" w:eastAsia="Times New Roman" w:hAnsi="Arial" w:cs="Arial"/>
          <w:sz w:val="24"/>
          <w:szCs w:val="24"/>
          <w:lang w:eastAsia="es-ES"/>
        </w:rPr>
        <w:t xml:space="preserve"> como el principal detonante de desastres. El relacionamiento ambiental es crítico aquí: menos bosque significa que el agua corre más rápido hacia los ríos, provocando las </w:t>
      </w:r>
      <w:r w:rsidRPr="00E207A2">
        <w:rPr>
          <w:rFonts w:ascii="Arial" w:eastAsia="Times New Roman" w:hAnsi="Arial" w:cs="Arial"/>
          <w:b/>
          <w:bCs/>
          <w:sz w:val="24"/>
          <w:szCs w:val="24"/>
          <w:lang w:eastAsia="es-ES"/>
        </w:rPr>
        <w:t>avenidas torrenciales</w:t>
      </w:r>
      <w:r w:rsidRPr="00E207A2">
        <w:rPr>
          <w:rFonts w:ascii="Arial" w:eastAsia="Times New Roman" w:hAnsi="Arial" w:cs="Arial"/>
          <w:sz w:val="24"/>
          <w:szCs w:val="24"/>
          <w:lang w:eastAsia="es-ES"/>
        </w:rPr>
        <w:t xml:space="preserve"> que afectan a Florencia y otros municipios.</w:t>
      </w:r>
    </w:p>
    <w:p w:rsidR="00755AE7" w:rsidRPr="00E207A2" w:rsidRDefault="00755AE7" w:rsidP="00E207A2">
      <w:pPr>
        <w:spacing w:line="240" w:lineRule="auto"/>
        <w:jc w:val="both"/>
        <w:rPr>
          <w:rFonts w:ascii="Arial" w:eastAsia="Times New Roman" w:hAnsi="Arial" w:cs="Arial"/>
          <w:b/>
          <w:bCs/>
          <w:sz w:val="24"/>
          <w:szCs w:val="24"/>
          <w:lang w:eastAsia="es-ES"/>
        </w:rPr>
      </w:pPr>
      <w:r w:rsidRPr="00E207A2">
        <w:rPr>
          <w:rFonts w:ascii="Arial" w:eastAsia="Times New Roman" w:hAnsi="Arial" w:cs="Arial"/>
          <w:b/>
          <w:bCs/>
          <w:sz w:val="24"/>
          <w:szCs w:val="24"/>
          <w:lang w:eastAsia="es-ES"/>
        </w:rPr>
        <w:t>4. Inclusión de la Cosmovisión Indígena</w:t>
      </w:r>
    </w:p>
    <w:p w:rsidR="00755AE7" w:rsidRPr="00E207A2" w:rsidRDefault="00755AE7" w:rsidP="00E207A2">
      <w:pPr>
        <w:spacing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lastRenderedPageBreak/>
        <w:t xml:space="preserve">El plan otorga un valor significativo a los </w:t>
      </w:r>
      <w:r w:rsidRPr="00E207A2">
        <w:rPr>
          <w:rFonts w:ascii="Arial" w:eastAsia="Times New Roman" w:hAnsi="Arial" w:cs="Arial"/>
          <w:b/>
          <w:bCs/>
          <w:sz w:val="24"/>
          <w:szCs w:val="24"/>
          <w:lang w:eastAsia="es-ES"/>
        </w:rPr>
        <w:t>resguardos indígenas</w:t>
      </w:r>
      <w:r w:rsidRPr="00E207A2">
        <w:rPr>
          <w:rFonts w:ascii="Arial" w:eastAsia="Times New Roman" w:hAnsi="Arial" w:cs="Arial"/>
          <w:sz w:val="24"/>
          <w:szCs w:val="24"/>
          <w:lang w:eastAsia="es-ES"/>
        </w:rPr>
        <w:t xml:space="preserve"> (mencionando fuentes del IGAC 2010). No los ve solo como población vulnerable, sino como territorios con una relación cultural diferente con la tierra que debe ser respetada en los protocolos de respuesta y prevención.</w:t>
      </w:r>
    </w:p>
    <w:p w:rsidR="00755AE7" w:rsidRPr="00E207A2" w:rsidRDefault="00755AE7" w:rsidP="00E207A2">
      <w:pPr>
        <w:spacing w:line="240" w:lineRule="auto"/>
        <w:jc w:val="both"/>
        <w:rPr>
          <w:rFonts w:ascii="Arial" w:eastAsia="Times New Roman" w:hAnsi="Arial" w:cs="Arial"/>
          <w:b/>
          <w:bCs/>
          <w:sz w:val="24"/>
          <w:szCs w:val="24"/>
          <w:lang w:eastAsia="es-ES"/>
        </w:rPr>
      </w:pPr>
      <w:r w:rsidRPr="00E207A2">
        <w:rPr>
          <w:rFonts w:ascii="Arial" w:eastAsia="Times New Roman" w:hAnsi="Arial" w:cs="Arial"/>
          <w:b/>
          <w:bCs/>
          <w:sz w:val="24"/>
          <w:szCs w:val="24"/>
          <w:lang w:eastAsia="es-ES"/>
        </w:rPr>
        <w:t>5. Priorización de Amenazas Específicas</w:t>
      </w:r>
    </w:p>
    <w:p w:rsidR="00755AE7" w:rsidRPr="00E207A2" w:rsidRDefault="00755AE7" w:rsidP="00E207A2">
      <w:pPr>
        <w:spacing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El documento es muy puntual en su diagnóstico:</w:t>
      </w:r>
    </w:p>
    <w:p w:rsidR="00755AE7" w:rsidRPr="00E207A2" w:rsidRDefault="00755AE7" w:rsidP="00E207A2">
      <w:pPr>
        <w:numPr>
          <w:ilvl w:val="0"/>
          <w:numId w:val="13"/>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Inundaciones:</w:t>
      </w:r>
      <w:r w:rsidRPr="00E207A2">
        <w:rPr>
          <w:rFonts w:ascii="Arial" w:eastAsia="Times New Roman" w:hAnsi="Arial" w:cs="Arial"/>
          <w:sz w:val="24"/>
          <w:szCs w:val="24"/>
          <w:lang w:eastAsia="es-ES"/>
        </w:rPr>
        <w:t xml:space="preserve"> Son la amenaza principal por la dinámica de los ríos </w:t>
      </w:r>
      <w:proofErr w:type="spellStart"/>
      <w:r w:rsidRPr="00E207A2">
        <w:rPr>
          <w:rFonts w:ascii="Arial" w:eastAsia="Times New Roman" w:hAnsi="Arial" w:cs="Arial"/>
          <w:sz w:val="24"/>
          <w:szCs w:val="24"/>
          <w:lang w:eastAsia="es-ES"/>
        </w:rPr>
        <w:t>Yarí</w:t>
      </w:r>
      <w:proofErr w:type="spellEnd"/>
      <w:r w:rsidRPr="00E207A2">
        <w:rPr>
          <w:rFonts w:ascii="Arial" w:eastAsia="Times New Roman" w:hAnsi="Arial" w:cs="Arial"/>
          <w:sz w:val="24"/>
          <w:szCs w:val="24"/>
          <w:lang w:eastAsia="es-ES"/>
        </w:rPr>
        <w:t xml:space="preserve">, Caguán, </w:t>
      </w:r>
      <w:proofErr w:type="spellStart"/>
      <w:r w:rsidRPr="00E207A2">
        <w:rPr>
          <w:rFonts w:ascii="Arial" w:eastAsia="Times New Roman" w:hAnsi="Arial" w:cs="Arial"/>
          <w:sz w:val="24"/>
          <w:szCs w:val="24"/>
          <w:lang w:eastAsia="es-ES"/>
        </w:rPr>
        <w:t>Orteguaza</w:t>
      </w:r>
      <w:proofErr w:type="spellEnd"/>
      <w:r w:rsidRPr="00E207A2">
        <w:rPr>
          <w:rFonts w:ascii="Arial" w:eastAsia="Times New Roman" w:hAnsi="Arial" w:cs="Arial"/>
          <w:sz w:val="24"/>
          <w:szCs w:val="24"/>
          <w:lang w:eastAsia="es-ES"/>
        </w:rPr>
        <w:t xml:space="preserve"> y Caquetá.</w:t>
      </w:r>
    </w:p>
    <w:p w:rsidR="00755AE7" w:rsidRDefault="00755AE7" w:rsidP="00E207A2">
      <w:pPr>
        <w:numPr>
          <w:ilvl w:val="0"/>
          <w:numId w:val="13"/>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Avenidas Torrenciales:</w:t>
      </w:r>
      <w:r w:rsidRPr="00E207A2">
        <w:rPr>
          <w:rFonts w:ascii="Arial" w:eastAsia="Times New Roman" w:hAnsi="Arial" w:cs="Arial"/>
          <w:sz w:val="24"/>
          <w:szCs w:val="24"/>
          <w:lang w:eastAsia="es-ES"/>
        </w:rPr>
        <w:t xml:space="preserve"> Identifica sitios críticos tanto en cabeceras municipales como en áreas rurales, permitiendo una inversión más quirúrgica del presupuesto.</w:t>
      </w:r>
    </w:p>
    <w:p w:rsidR="00D84718" w:rsidRPr="00E207A2" w:rsidRDefault="00D84718" w:rsidP="00D84718">
      <w:pPr>
        <w:spacing w:after="0" w:line="240" w:lineRule="auto"/>
        <w:jc w:val="both"/>
        <w:rPr>
          <w:rFonts w:ascii="Arial" w:eastAsia="Times New Roman" w:hAnsi="Arial" w:cs="Arial"/>
          <w:sz w:val="24"/>
          <w:szCs w:val="24"/>
          <w:lang w:eastAsia="es-ES"/>
        </w:rPr>
      </w:pPr>
    </w:p>
    <w:p w:rsidR="00755AE7" w:rsidRPr="00E207A2" w:rsidRDefault="00755AE7" w:rsidP="00E207A2">
      <w:pPr>
        <w:spacing w:line="240" w:lineRule="auto"/>
        <w:jc w:val="both"/>
        <w:rPr>
          <w:rFonts w:ascii="Arial" w:eastAsia="Times New Roman" w:hAnsi="Arial" w:cs="Arial"/>
          <w:b/>
          <w:bCs/>
          <w:sz w:val="24"/>
          <w:szCs w:val="24"/>
          <w:lang w:eastAsia="es-ES"/>
        </w:rPr>
      </w:pPr>
      <w:r w:rsidRPr="00E207A2">
        <w:rPr>
          <w:rFonts w:ascii="Arial" w:eastAsia="Times New Roman" w:hAnsi="Arial" w:cs="Arial"/>
          <w:b/>
          <w:bCs/>
          <w:sz w:val="24"/>
          <w:szCs w:val="24"/>
          <w:lang w:eastAsia="es-ES"/>
        </w:rPr>
        <w:t>6. Articulación con el Marco de Sendai</w:t>
      </w:r>
    </w:p>
    <w:p w:rsidR="00755AE7" w:rsidRPr="00E207A2" w:rsidRDefault="00755AE7" w:rsidP="00E207A2">
      <w:pPr>
        <w:spacing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 xml:space="preserve">Es significativo que un plan departamental se alinee con metas globales a 15 años (2015-2030). Esto eleva el estándar del Caquetá, obligándolo a pasar de la "atención de la emergencia" (entregar mercados) al </w:t>
      </w:r>
      <w:r w:rsidRPr="00E207A2">
        <w:rPr>
          <w:rFonts w:ascii="Arial" w:eastAsia="Times New Roman" w:hAnsi="Arial" w:cs="Arial"/>
          <w:b/>
          <w:bCs/>
          <w:sz w:val="24"/>
          <w:szCs w:val="24"/>
          <w:lang w:eastAsia="es-ES"/>
        </w:rPr>
        <w:t>"conocimiento del riesgo"</w:t>
      </w:r>
      <w:r w:rsidRPr="00E207A2">
        <w:rPr>
          <w:rFonts w:ascii="Arial" w:eastAsia="Times New Roman" w:hAnsi="Arial" w:cs="Arial"/>
          <w:sz w:val="24"/>
          <w:szCs w:val="24"/>
          <w:lang w:eastAsia="es-ES"/>
        </w:rPr>
        <w:t xml:space="preserve"> (estudios técnicos profundos).</w:t>
      </w:r>
    </w:p>
    <w:p w:rsidR="00755AE7" w:rsidRPr="005B7671" w:rsidRDefault="00755AE7" w:rsidP="00E207A2">
      <w:pPr>
        <w:spacing w:before="480" w:after="480" w:line="240" w:lineRule="auto"/>
        <w:jc w:val="both"/>
        <w:rPr>
          <w:rFonts w:ascii="Arial" w:eastAsia="Times New Roman" w:hAnsi="Arial" w:cs="Arial"/>
          <w:b/>
          <w:color w:val="FF0000"/>
          <w:sz w:val="24"/>
          <w:szCs w:val="24"/>
          <w:u w:val="single"/>
          <w:lang w:eastAsia="es-ES"/>
        </w:rPr>
      </w:pPr>
      <w:r w:rsidRPr="005B7671">
        <w:rPr>
          <w:rFonts w:ascii="Arial" w:eastAsia="Times New Roman" w:hAnsi="Arial" w:cs="Arial"/>
          <w:b/>
          <w:color w:val="FF0000"/>
          <w:sz w:val="24"/>
          <w:szCs w:val="24"/>
          <w:u w:val="single"/>
          <w:lang w:eastAsia="es-ES"/>
        </w:rPr>
        <w:t>CORRELACIÓN CON LA SALA DE MONITOREO:</w:t>
      </w:r>
    </w:p>
    <w:p w:rsidR="00755AE7" w:rsidRPr="005B7671" w:rsidRDefault="00755AE7" w:rsidP="00E207A2">
      <w:pPr>
        <w:spacing w:line="240" w:lineRule="auto"/>
        <w:jc w:val="both"/>
        <w:rPr>
          <w:rFonts w:ascii="Arial" w:eastAsia="Times New Roman" w:hAnsi="Arial" w:cs="Arial"/>
          <w:sz w:val="24"/>
          <w:szCs w:val="24"/>
          <w:lang w:eastAsia="es-ES"/>
        </w:rPr>
      </w:pPr>
      <w:r w:rsidRPr="005B7671">
        <w:rPr>
          <w:rFonts w:ascii="Arial" w:eastAsia="Times New Roman" w:hAnsi="Arial" w:cs="Arial"/>
          <w:sz w:val="24"/>
          <w:szCs w:val="24"/>
          <w:lang w:eastAsia="es-ES"/>
        </w:rPr>
        <w:t xml:space="preserve">Basado en la estructura del Sistema Nacional (SNGRD) y los instrumentos de planificación descritos en el documento (especialmente en los capítulos 1 y 4), la correlación con una </w:t>
      </w:r>
      <w:r w:rsidRPr="005B7671">
        <w:rPr>
          <w:rFonts w:ascii="Arial" w:eastAsia="Times New Roman" w:hAnsi="Arial" w:cs="Arial"/>
          <w:b/>
          <w:bCs/>
          <w:sz w:val="24"/>
          <w:szCs w:val="24"/>
          <w:lang w:eastAsia="es-ES"/>
        </w:rPr>
        <w:t>Sala de Monitoreo</w:t>
      </w:r>
      <w:r w:rsidR="005B7671">
        <w:rPr>
          <w:rFonts w:ascii="Arial" w:eastAsia="Times New Roman" w:hAnsi="Arial" w:cs="Arial"/>
          <w:sz w:val="24"/>
          <w:szCs w:val="24"/>
          <w:lang w:eastAsia="es-ES"/>
        </w:rPr>
        <w:t>:</w:t>
      </w:r>
      <w:r w:rsidRPr="005B7671">
        <w:rPr>
          <w:rFonts w:ascii="Arial" w:eastAsia="Times New Roman" w:hAnsi="Arial" w:cs="Arial"/>
          <w:sz w:val="24"/>
          <w:szCs w:val="24"/>
          <w:lang w:eastAsia="es-ES"/>
        </w:rPr>
        <w:t xml:space="preserve"> se establece de la siguiente manera:</w:t>
      </w:r>
    </w:p>
    <w:p w:rsidR="00755AE7" w:rsidRPr="005B7671" w:rsidRDefault="00755AE7" w:rsidP="00E207A2">
      <w:pPr>
        <w:spacing w:line="240" w:lineRule="auto"/>
        <w:jc w:val="both"/>
        <w:rPr>
          <w:rFonts w:ascii="Arial" w:eastAsia="Times New Roman" w:hAnsi="Arial" w:cs="Arial"/>
          <w:b/>
          <w:bCs/>
          <w:sz w:val="24"/>
          <w:szCs w:val="24"/>
          <w:lang w:eastAsia="es-ES"/>
        </w:rPr>
      </w:pPr>
      <w:r w:rsidRPr="005B7671">
        <w:rPr>
          <w:rFonts w:ascii="Arial" w:eastAsia="Times New Roman" w:hAnsi="Arial" w:cs="Arial"/>
          <w:b/>
          <w:bCs/>
          <w:sz w:val="24"/>
          <w:szCs w:val="24"/>
          <w:lang w:eastAsia="es-ES"/>
        </w:rPr>
        <w:t>1. El Insumo Técnico: Conocimiento del Riesgo</w:t>
      </w:r>
    </w:p>
    <w:p w:rsidR="005B7671" w:rsidRDefault="00755AE7" w:rsidP="005B7671">
      <w:pPr>
        <w:spacing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 xml:space="preserve">El documento destaca la articulación con el </w:t>
      </w:r>
      <w:r w:rsidRPr="00E207A2">
        <w:rPr>
          <w:rFonts w:ascii="Arial" w:eastAsia="Times New Roman" w:hAnsi="Arial" w:cs="Arial"/>
          <w:b/>
          <w:bCs/>
          <w:sz w:val="24"/>
          <w:szCs w:val="24"/>
          <w:lang w:eastAsia="es-ES"/>
        </w:rPr>
        <w:t>IDEAM</w:t>
      </w:r>
      <w:r w:rsidRPr="00E207A2">
        <w:rPr>
          <w:rFonts w:ascii="Arial" w:eastAsia="Times New Roman" w:hAnsi="Arial" w:cs="Arial"/>
          <w:sz w:val="24"/>
          <w:szCs w:val="24"/>
          <w:lang w:eastAsia="es-ES"/>
        </w:rPr>
        <w:t xml:space="preserve"> y el </w:t>
      </w:r>
      <w:r w:rsidRPr="00E207A2">
        <w:rPr>
          <w:rFonts w:ascii="Arial" w:eastAsia="Times New Roman" w:hAnsi="Arial" w:cs="Arial"/>
          <w:b/>
          <w:bCs/>
          <w:sz w:val="24"/>
          <w:szCs w:val="24"/>
          <w:lang w:eastAsia="es-ES"/>
        </w:rPr>
        <w:t>Servicio Geológico Colombiano (SGC)</w:t>
      </w:r>
      <w:r w:rsidR="005B7671">
        <w:rPr>
          <w:rFonts w:ascii="Arial" w:eastAsia="Times New Roman" w:hAnsi="Arial" w:cs="Arial"/>
          <w:sz w:val="24"/>
          <w:szCs w:val="24"/>
          <w:lang w:eastAsia="es-ES"/>
        </w:rPr>
        <w:t>.</w:t>
      </w:r>
    </w:p>
    <w:p w:rsidR="00755AE7" w:rsidRPr="00E207A2" w:rsidRDefault="005B7671" w:rsidP="005B7671">
      <w:pPr>
        <w:spacing w:line="240" w:lineRule="auto"/>
        <w:jc w:val="both"/>
        <w:rPr>
          <w:rFonts w:ascii="Arial" w:eastAsia="Times New Roman" w:hAnsi="Arial" w:cs="Arial"/>
          <w:sz w:val="24"/>
          <w:szCs w:val="24"/>
          <w:lang w:eastAsia="es-ES"/>
        </w:rPr>
      </w:pPr>
      <w:r>
        <w:rPr>
          <w:rFonts w:ascii="Arial" w:eastAsia="Times New Roman" w:hAnsi="Arial" w:cs="Arial"/>
          <w:sz w:val="24"/>
          <w:szCs w:val="24"/>
          <w:lang w:eastAsia="es-ES"/>
        </w:rPr>
        <w:t>Recibir</w:t>
      </w:r>
      <w:r w:rsidR="00755AE7" w:rsidRPr="00E207A2">
        <w:rPr>
          <w:rFonts w:ascii="Arial" w:eastAsia="Times New Roman" w:hAnsi="Arial" w:cs="Arial"/>
          <w:sz w:val="24"/>
          <w:szCs w:val="24"/>
          <w:lang w:eastAsia="es-ES"/>
        </w:rPr>
        <w:t xml:space="preserve"> los datos en tiempo real de estas entidades (sismicidad, niveles de ríos y alertas </w:t>
      </w:r>
      <w:proofErr w:type="spellStart"/>
      <w:r w:rsidR="00755AE7" w:rsidRPr="00E207A2">
        <w:rPr>
          <w:rFonts w:ascii="Arial" w:eastAsia="Times New Roman" w:hAnsi="Arial" w:cs="Arial"/>
          <w:sz w:val="24"/>
          <w:szCs w:val="24"/>
          <w:lang w:eastAsia="es-ES"/>
        </w:rPr>
        <w:t>hidrometeorológicas</w:t>
      </w:r>
      <w:proofErr w:type="spellEnd"/>
      <w:r w:rsidR="00755AE7" w:rsidRPr="00E207A2">
        <w:rPr>
          <w:rFonts w:ascii="Arial" w:eastAsia="Times New Roman" w:hAnsi="Arial" w:cs="Arial"/>
          <w:sz w:val="24"/>
          <w:szCs w:val="24"/>
          <w:lang w:eastAsia="es-ES"/>
        </w:rPr>
        <w:t xml:space="preserve">) para transformarlos en información útil </w:t>
      </w:r>
      <w:r>
        <w:rPr>
          <w:rFonts w:ascii="Arial" w:eastAsia="Times New Roman" w:hAnsi="Arial" w:cs="Arial"/>
          <w:sz w:val="24"/>
          <w:szCs w:val="24"/>
          <w:lang w:eastAsia="es-ES"/>
        </w:rPr>
        <w:t>para el departamento</w:t>
      </w:r>
      <w:r w:rsidR="00755AE7" w:rsidRPr="00E207A2">
        <w:rPr>
          <w:rFonts w:ascii="Arial" w:eastAsia="Times New Roman" w:hAnsi="Arial" w:cs="Arial"/>
          <w:sz w:val="24"/>
          <w:szCs w:val="24"/>
          <w:lang w:eastAsia="es-ES"/>
        </w:rPr>
        <w:t>.</w:t>
      </w:r>
    </w:p>
    <w:p w:rsidR="00755AE7" w:rsidRPr="005B7671" w:rsidRDefault="00755AE7" w:rsidP="00E207A2">
      <w:pPr>
        <w:spacing w:line="240" w:lineRule="auto"/>
        <w:jc w:val="both"/>
        <w:rPr>
          <w:rFonts w:ascii="Arial" w:eastAsia="Times New Roman" w:hAnsi="Arial" w:cs="Arial"/>
          <w:b/>
          <w:bCs/>
          <w:sz w:val="24"/>
          <w:szCs w:val="24"/>
          <w:lang w:eastAsia="es-ES"/>
        </w:rPr>
      </w:pPr>
      <w:r w:rsidRPr="00E207A2">
        <w:rPr>
          <w:rFonts w:ascii="Arial" w:eastAsia="Times New Roman" w:hAnsi="Arial" w:cs="Arial"/>
          <w:b/>
          <w:bCs/>
          <w:sz w:val="24"/>
          <w:szCs w:val="24"/>
          <w:lang w:eastAsia="es-ES"/>
        </w:rPr>
        <w:t>2. Activación de la Estrategia de Respuesta</w:t>
      </w:r>
      <w:r w:rsidR="005B7671">
        <w:rPr>
          <w:rFonts w:ascii="Arial" w:eastAsia="Times New Roman" w:hAnsi="Arial" w:cs="Arial"/>
          <w:b/>
          <w:bCs/>
          <w:sz w:val="24"/>
          <w:szCs w:val="24"/>
          <w:lang w:eastAsia="es-ES"/>
        </w:rPr>
        <w:t xml:space="preserve"> </w:t>
      </w:r>
      <w:r w:rsidRPr="00E207A2">
        <w:rPr>
          <w:rFonts w:ascii="Arial" w:eastAsia="Times New Roman" w:hAnsi="Arial" w:cs="Arial"/>
          <w:b/>
          <w:bCs/>
          <w:sz w:val="24"/>
          <w:szCs w:val="24"/>
          <w:lang w:eastAsia="es-ES"/>
        </w:rPr>
        <w:t>a Emergencias (EDRE)</w:t>
      </w:r>
      <w:r w:rsidRPr="00E207A2">
        <w:rPr>
          <w:rFonts w:ascii="Arial" w:eastAsia="Times New Roman" w:hAnsi="Arial" w:cs="Arial"/>
          <w:sz w:val="24"/>
          <w:szCs w:val="24"/>
          <w:lang w:eastAsia="es-ES"/>
        </w:rPr>
        <w:t>:</w:t>
      </w:r>
    </w:p>
    <w:p w:rsidR="00755AE7" w:rsidRPr="00E207A2" w:rsidRDefault="00755AE7" w:rsidP="00E207A2">
      <w:pPr>
        <w:numPr>
          <w:ilvl w:val="0"/>
          <w:numId w:val="15"/>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 xml:space="preserve">Cuando la sala detecta niveles críticos en cuencas priorizadas por el plan (como los ríos Hacha, </w:t>
      </w:r>
      <w:proofErr w:type="spellStart"/>
      <w:r w:rsidRPr="00E207A2">
        <w:rPr>
          <w:rFonts w:ascii="Arial" w:eastAsia="Times New Roman" w:hAnsi="Arial" w:cs="Arial"/>
          <w:sz w:val="24"/>
          <w:szCs w:val="24"/>
          <w:lang w:eastAsia="es-ES"/>
        </w:rPr>
        <w:t>Orteguaza</w:t>
      </w:r>
      <w:proofErr w:type="spellEnd"/>
      <w:r w:rsidRPr="00E207A2">
        <w:rPr>
          <w:rFonts w:ascii="Arial" w:eastAsia="Times New Roman" w:hAnsi="Arial" w:cs="Arial"/>
          <w:sz w:val="24"/>
          <w:szCs w:val="24"/>
          <w:lang w:eastAsia="es-ES"/>
        </w:rPr>
        <w:t xml:space="preserve"> o Caguán), se activan automáticamente los protocolos de los </w:t>
      </w:r>
      <w:r w:rsidRPr="00E207A2">
        <w:rPr>
          <w:rFonts w:ascii="Arial" w:eastAsia="Times New Roman" w:hAnsi="Arial" w:cs="Arial"/>
          <w:b/>
          <w:bCs/>
          <w:sz w:val="24"/>
          <w:szCs w:val="24"/>
          <w:lang w:eastAsia="es-ES"/>
        </w:rPr>
        <w:t>Consejos Municipales de Gestión del Riesgo</w:t>
      </w:r>
      <w:r w:rsidRPr="00E207A2">
        <w:rPr>
          <w:rFonts w:ascii="Arial" w:eastAsia="Times New Roman" w:hAnsi="Arial" w:cs="Arial"/>
          <w:sz w:val="24"/>
          <w:szCs w:val="24"/>
          <w:lang w:eastAsia="es-ES"/>
        </w:rPr>
        <w:t>.</w:t>
      </w:r>
    </w:p>
    <w:p w:rsidR="00755AE7" w:rsidRDefault="00755AE7" w:rsidP="00E207A2">
      <w:pPr>
        <w:numPr>
          <w:ilvl w:val="0"/>
          <w:numId w:val="15"/>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 xml:space="preserve">Esto permite pasar de una respuesta reactiva a una </w:t>
      </w:r>
      <w:r w:rsidRPr="00E207A2">
        <w:rPr>
          <w:rFonts w:ascii="Arial" w:eastAsia="Times New Roman" w:hAnsi="Arial" w:cs="Arial"/>
          <w:b/>
          <w:bCs/>
          <w:sz w:val="24"/>
          <w:szCs w:val="24"/>
          <w:lang w:eastAsia="es-ES"/>
        </w:rPr>
        <w:t>alerta temprana</w:t>
      </w:r>
      <w:r w:rsidRPr="00E207A2">
        <w:rPr>
          <w:rFonts w:ascii="Arial" w:eastAsia="Times New Roman" w:hAnsi="Arial" w:cs="Arial"/>
          <w:sz w:val="24"/>
          <w:szCs w:val="24"/>
          <w:lang w:eastAsia="es-ES"/>
        </w:rPr>
        <w:t xml:space="preserve">, punto que el plan subraya como vital para reducir la </w:t>
      </w:r>
      <w:r w:rsidR="005B7671">
        <w:rPr>
          <w:rFonts w:ascii="Arial" w:eastAsia="Times New Roman" w:hAnsi="Arial" w:cs="Arial"/>
          <w:sz w:val="24"/>
          <w:szCs w:val="24"/>
          <w:lang w:eastAsia="es-ES"/>
        </w:rPr>
        <w:t>pérdida de vidas humanas</w:t>
      </w:r>
      <w:r w:rsidRPr="00E207A2">
        <w:rPr>
          <w:rFonts w:ascii="Arial" w:eastAsia="Times New Roman" w:hAnsi="Arial" w:cs="Arial"/>
          <w:sz w:val="24"/>
          <w:szCs w:val="24"/>
          <w:lang w:eastAsia="es-ES"/>
        </w:rPr>
        <w:t>.</w:t>
      </w:r>
    </w:p>
    <w:p w:rsidR="005B7671" w:rsidRPr="00E207A2" w:rsidRDefault="005B7671" w:rsidP="005B7671">
      <w:pPr>
        <w:spacing w:after="0" w:line="240" w:lineRule="auto"/>
        <w:jc w:val="both"/>
        <w:rPr>
          <w:rFonts w:ascii="Arial" w:eastAsia="Times New Roman" w:hAnsi="Arial" w:cs="Arial"/>
          <w:sz w:val="24"/>
          <w:szCs w:val="24"/>
          <w:lang w:eastAsia="es-ES"/>
        </w:rPr>
      </w:pPr>
    </w:p>
    <w:p w:rsidR="00755AE7" w:rsidRPr="00E207A2" w:rsidRDefault="00755AE7" w:rsidP="00E207A2">
      <w:pPr>
        <w:spacing w:line="240" w:lineRule="auto"/>
        <w:jc w:val="both"/>
        <w:rPr>
          <w:rFonts w:ascii="Arial" w:eastAsia="Times New Roman" w:hAnsi="Arial" w:cs="Arial"/>
          <w:b/>
          <w:bCs/>
          <w:sz w:val="24"/>
          <w:szCs w:val="24"/>
          <w:lang w:eastAsia="es-ES"/>
        </w:rPr>
      </w:pPr>
      <w:r w:rsidRPr="00E207A2">
        <w:rPr>
          <w:rFonts w:ascii="Arial" w:eastAsia="Times New Roman" w:hAnsi="Arial" w:cs="Arial"/>
          <w:b/>
          <w:bCs/>
          <w:sz w:val="24"/>
          <w:szCs w:val="24"/>
          <w:lang w:eastAsia="es-ES"/>
        </w:rPr>
        <w:t>3. Seguimiento de Escenarios Priorizados</w:t>
      </w:r>
    </w:p>
    <w:p w:rsidR="005B7671" w:rsidRDefault="00755AE7" w:rsidP="00E207A2">
      <w:pPr>
        <w:spacing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 xml:space="preserve">El plan identifica escenarios específicos, como las </w:t>
      </w:r>
      <w:r w:rsidRPr="00E207A2">
        <w:rPr>
          <w:rFonts w:ascii="Arial" w:eastAsia="Times New Roman" w:hAnsi="Arial" w:cs="Arial"/>
          <w:b/>
          <w:bCs/>
          <w:sz w:val="24"/>
          <w:szCs w:val="24"/>
          <w:lang w:eastAsia="es-ES"/>
        </w:rPr>
        <w:t>avenidas torrenciales</w:t>
      </w:r>
      <w:r w:rsidRPr="00E207A2">
        <w:rPr>
          <w:rFonts w:ascii="Arial" w:eastAsia="Times New Roman" w:hAnsi="Arial" w:cs="Arial"/>
          <w:sz w:val="24"/>
          <w:szCs w:val="24"/>
          <w:lang w:eastAsia="es-ES"/>
        </w:rPr>
        <w:t xml:space="preserve"> y las </w:t>
      </w:r>
      <w:r w:rsidRPr="00E207A2">
        <w:rPr>
          <w:rFonts w:ascii="Arial" w:eastAsia="Times New Roman" w:hAnsi="Arial" w:cs="Arial"/>
          <w:b/>
          <w:bCs/>
          <w:sz w:val="24"/>
          <w:szCs w:val="24"/>
          <w:lang w:eastAsia="es-ES"/>
        </w:rPr>
        <w:t>inundaciones</w:t>
      </w:r>
      <w:r w:rsidRPr="00E207A2">
        <w:rPr>
          <w:rFonts w:ascii="Arial" w:eastAsia="Times New Roman" w:hAnsi="Arial" w:cs="Arial"/>
          <w:sz w:val="24"/>
          <w:szCs w:val="24"/>
          <w:lang w:eastAsia="es-ES"/>
        </w:rPr>
        <w:t xml:space="preserve"> en las subregi</w:t>
      </w:r>
      <w:r w:rsidR="005B7671">
        <w:rPr>
          <w:rFonts w:ascii="Arial" w:eastAsia="Times New Roman" w:hAnsi="Arial" w:cs="Arial"/>
          <w:sz w:val="24"/>
          <w:szCs w:val="24"/>
          <w:lang w:eastAsia="es-ES"/>
        </w:rPr>
        <w:t>ones Norte, Centro y Sur</w:t>
      </w:r>
      <w:r w:rsidRPr="00E207A2">
        <w:rPr>
          <w:rFonts w:ascii="Arial" w:eastAsia="Times New Roman" w:hAnsi="Arial" w:cs="Arial"/>
          <w:sz w:val="24"/>
          <w:szCs w:val="24"/>
          <w:lang w:eastAsia="es-ES"/>
        </w:rPr>
        <w:t xml:space="preserve">. La sala de monitoreo correlaciona estas zonas críticas con las estaciones meteorológicas (como las de Florencia mencionadas en el documento) para vigilar permanentemente los sitios identificados como de "amenaza </w:t>
      </w:r>
      <w:r w:rsidR="005B7671">
        <w:rPr>
          <w:rFonts w:ascii="Arial" w:eastAsia="Times New Roman" w:hAnsi="Arial" w:cs="Arial"/>
          <w:sz w:val="24"/>
          <w:szCs w:val="24"/>
          <w:lang w:eastAsia="es-ES"/>
        </w:rPr>
        <w:t xml:space="preserve">alta" </w:t>
      </w:r>
    </w:p>
    <w:p w:rsidR="005B7671" w:rsidRDefault="005B7671" w:rsidP="00E207A2">
      <w:pPr>
        <w:spacing w:line="240" w:lineRule="auto"/>
        <w:jc w:val="both"/>
        <w:rPr>
          <w:rFonts w:ascii="Arial" w:eastAsia="Times New Roman" w:hAnsi="Arial" w:cs="Arial"/>
          <w:sz w:val="24"/>
          <w:szCs w:val="24"/>
          <w:lang w:eastAsia="es-ES"/>
        </w:rPr>
      </w:pPr>
    </w:p>
    <w:p w:rsidR="00755AE7" w:rsidRPr="00E207A2" w:rsidRDefault="00755AE7" w:rsidP="00E207A2">
      <w:pPr>
        <w:spacing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w:t>
      </w:r>
    </w:p>
    <w:p w:rsidR="00755AE7" w:rsidRPr="00E207A2" w:rsidRDefault="00755AE7" w:rsidP="00E207A2">
      <w:pPr>
        <w:spacing w:line="240" w:lineRule="auto"/>
        <w:jc w:val="both"/>
        <w:rPr>
          <w:rFonts w:ascii="Arial" w:eastAsia="Times New Roman" w:hAnsi="Arial" w:cs="Arial"/>
          <w:b/>
          <w:bCs/>
          <w:sz w:val="24"/>
          <w:szCs w:val="24"/>
          <w:lang w:eastAsia="es-ES"/>
        </w:rPr>
      </w:pPr>
      <w:r w:rsidRPr="00E207A2">
        <w:rPr>
          <w:rFonts w:ascii="Arial" w:eastAsia="Times New Roman" w:hAnsi="Arial" w:cs="Arial"/>
          <w:b/>
          <w:bCs/>
          <w:sz w:val="24"/>
          <w:szCs w:val="24"/>
          <w:lang w:eastAsia="es-ES"/>
        </w:rPr>
        <w:t>4. Soporte para la Toma de Decisiones Políticas</w:t>
      </w:r>
    </w:p>
    <w:p w:rsidR="00755AE7" w:rsidRPr="00E207A2" w:rsidRDefault="00755AE7" w:rsidP="00E207A2">
      <w:pPr>
        <w:spacing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 xml:space="preserve">Los datos que arroja la sala de monitoreo permiten que el </w:t>
      </w:r>
      <w:r w:rsidRPr="00E207A2">
        <w:rPr>
          <w:rFonts w:ascii="Arial" w:eastAsia="Times New Roman" w:hAnsi="Arial" w:cs="Arial"/>
          <w:b/>
          <w:bCs/>
          <w:sz w:val="24"/>
          <w:szCs w:val="24"/>
          <w:lang w:eastAsia="es-ES"/>
        </w:rPr>
        <w:t>Gobernador</w:t>
      </w:r>
      <w:r w:rsidRPr="00E207A2">
        <w:rPr>
          <w:rFonts w:ascii="Arial" w:eastAsia="Times New Roman" w:hAnsi="Arial" w:cs="Arial"/>
          <w:sz w:val="24"/>
          <w:szCs w:val="24"/>
          <w:lang w:eastAsia="es-ES"/>
        </w:rPr>
        <w:t xml:space="preserve"> y el </w:t>
      </w:r>
      <w:r w:rsidRPr="00E207A2">
        <w:rPr>
          <w:rFonts w:ascii="Arial" w:eastAsia="Times New Roman" w:hAnsi="Arial" w:cs="Arial"/>
          <w:b/>
          <w:bCs/>
          <w:sz w:val="24"/>
          <w:szCs w:val="24"/>
          <w:lang w:eastAsia="es-ES"/>
        </w:rPr>
        <w:t>Coordinador Departamental de Gestión del Riesgo</w:t>
      </w:r>
      <w:r w:rsidRPr="00E207A2">
        <w:rPr>
          <w:rFonts w:ascii="Arial" w:eastAsia="Times New Roman" w:hAnsi="Arial" w:cs="Arial"/>
          <w:sz w:val="24"/>
          <w:szCs w:val="24"/>
          <w:lang w:eastAsia="es-ES"/>
        </w:rPr>
        <w:t xml:space="preserve"> tengan argumentos técnicos para:</w:t>
      </w:r>
    </w:p>
    <w:p w:rsidR="00755AE7" w:rsidRPr="00E207A2" w:rsidRDefault="00755AE7" w:rsidP="00E207A2">
      <w:pPr>
        <w:numPr>
          <w:ilvl w:val="0"/>
          <w:numId w:val="16"/>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 xml:space="preserve">Declarar situaciones de </w:t>
      </w:r>
      <w:r w:rsidRPr="00E207A2">
        <w:rPr>
          <w:rFonts w:ascii="Arial" w:eastAsia="Times New Roman" w:hAnsi="Arial" w:cs="Arial"/>
          <w:b/>
          <w:bCs/>
          <w:sz w:val="24"/>
          <w:szCs w:val="24"/>
          <w:lang w:eastAsia="es-ES"/>
        </w:rPr>
        <w:t>Calamidad Pública</w:t>
      </w:r>
      <w:r w:rsidRPr="00E207A2">
        <w:rPr>
          <w:rFonts w:ascii="Arial" w:eastAsia="Times New Roman" w:hAnsi="Arial" w:cs="Arial"/>
          <w:sz w:val="24"/>
          <w:szCs w:val="24"/>
          <w:lang w:eastAsia="es-ES"/>
        </w:rPr>
        <w:t xml:space="preserve"> si los umbrales mo</w:t>
      </w:r>
      <w:r w:rsidR="005B7671">
        <w:rPr>
          <w:rFonts w:ascii="Arial" w:eastAsia="Times New Roman" w:hAnsi="Arial" w:cs="Arial"/>
          <w:sz w:val="24"/>
          <w:szCs w:val="24"/>
          <w:lang w:eastAsia="es-ES"/>
        </w:rPr>
        <w:t>nitoreados se sobrepasan</w:t>
      </w:r>
      <w:r w:rsidRPr="00E207A2">
        <w:rPr>
          <w:rFonts w:ascii="Arial" w:eastAsia="Times New Roman" w:hAnsi="Arial" w:cs="Arial"/>
          <w:sz w:val="24"/>
          <w:szCs w:val="24"/>
          <w:lang w:eastAsia="es-ES"/>
        </w:rPr>
        <w:t>.</w:t>
      </w:r>
    </w:p>
    <w:p w:rsidR="00755AE7" w:rsidRDefault="00755AE7" w:rsidP="00E207A2">
      <w:pPr>
        <w:numPr>
          <w:ilvl w:val="0"/>
          <w:numId w:val="16"/>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 xml:space="preserve">Movilizar recursos del </w:t>
      </w:r>
      <w:r w:rsidRPr="00E207A2">
        <w:rPr>
          <w:rFonts w:ascii="Arial" w:eastAsia="Times New Roman" w:hAnsi="Arial" w:cs="Arial"/>
          <w:b/>
          <w:bCs/>
          <w:sz w:val="24"/>
          <w:szCs w:val="24"/>
          <w:lang w:eastAsia="es-ES"/>
        </w:rPr>
        <w:t>Fondo Departamental de Gestión del Riesgo</w:t>
      </w:r>
      <w:r w:rsidR="005B7671">
        <w:rPr>
          <w:rFonts w:ascii="Arial" w:eastAsia="Times New Roman" w:hAnsi="Arial" w:cs="Arial"/>
          <w:sz w:val="24"/>
          <w:szCs w:val="24"/>
          <w:lang w:eastAsia="es-ES"/>
        </w:rPr>
        <w:t xml:space="preserve"> de manera justificada</w:t>
      </w:r>
      <w:r w:rsidRPr="00E207A2">
        <w:rPr>
          <w:rFonts w:ascii="Arial" w:eastAsia="Times New Roman" w:hAnsi="Arial" w:cs="Arial"/>
          <w:sz w:val="24"/>
          <w:szCs w:val="24"/>
          <w:lang w:eastAsia="es-ES"/>
        </w:rPr>
        <w:t>.</w:t>
      </w:r>
    </w:p>
    <w:p w:rsidR="005B7671" w:rsidRPr="00E207A2" w:rsidRDefault="005B7671" w:rsidP="005B7671">
      <w:pPr>
        <w:spacing w:after="0" w:line="240" w:lineRule="auto"/>
        <w:jc w:val="both"/>
        <w:rPr>
          <w:rFonts w:ascii="Arial" w:eastAsia="Times New Roman" w:hAnsi="Arial" w:cs="Arial"/>
          <w:sz w:val="24"/>
          <w:szCs w:val="24"/>
          <w:lang w:eastAsia="es-ES"/>
        </w:rPr>
      </w:pPr>
    </w:p>
    <w:p w:rsidR="00755AE7" w:rsidRPr="00E207A2" w:rsidRDefault="00755AE7" w:rsidP="00E207A2">
      <w:pPr>
        <w:spacing w:line="240" w:lineRule="auto"/>
        <w:jc w:val="both"/>
        <w:rPr>
          <w:rFonts w:ascii="Arial" w:eastAsia="Times New Roman" w:hAnsi="Arial" w:cs="Arial"/>
          <w:b/>
          <w:bCs/>
          <w:sz w:val="24"/>
          <w:szCs w:val="24"/>
          <w:lang w:eastAsia="es-ES"/>
        </w:rPr>
      </w:pPr>
      <w:r w:rsidRPr="00E207A2">
        <w:rPr>
          <w:rFonts w:ascii="Arial" w:eastAsia="Times New Roman" w:hAnsi="Arial" w:cs="Arial"/>
          <w:b/>
          <w:bCs/>
          <w:sz w:val="24"/>
          <w:szCs w:val="24"/>
          <w:lang w:eastAsia="es-ES"/>
        </w:rPr>
        <w:t>5. Articulación con Sistemas de Información</w:t>
      </w:r>
    </w:p>
    <w:p w:rsidR="00755AE7" w:rsidRPr="00E207A2" w:rsidRDefault="00755AE7" w:rsidP="00E207A2">
      <w:pPr>
        <w:spacing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 xml:space="preserve">El documento menciona en su Capítulo 1.9.4 la importancia de los </w:t>
      </w:r>
      <w:r w:rsidRPr="00E207A2">
        <w:rPr>
          <w:rFonts w:ascii="Arial" w:eastAsia="Times New Roman" w:hAnsi="Arial" w:cs="Arial"/>
          <w:b/>
          <w:bCs/>
          <w:sz w:val="24"/>
          <w:szCs w:val="24"/>
          <w:lang w:eastAsia="es-ES"/>
        </w:rPr>
        <w:t>Sistemas de Información</w:t>
      </w:r>
      <w:r w:rsidRPr="00E207A2">
        <w:rPr>
          <w:rFonts w:ascii="Arial" w:eastAsia="Times New Roman" w:hAnsi="Arial" w:cs="Arial"/>
          <w:sz w:val="24"/>
          <w:szCs w:val="24"/>
          <w:lang w:eastAsia="es-ES"/>
        </w:rPr>
        <w:t xml:space="preserve">. La sala de monitoreo actúa como el "cerebro" donde se centralizan estas bases de datos (como el inventario de eventos </w:t>
      </w:r>
      <w:proofErr w:type="spellStart"/>
      <w:r w:rsidRPr="00E207A2">
        <w:rPr>
          <w:rFonts w:ascii="Arial" w:eastAsia="Times New Roman" w:hAnsi="Arial" w:cs="Arial"/>
          <w:i/>
          <w:iCs/>
          <w:sz w:val="24"/>
          <w:szCs w:val="24"/>
          <w:lang w:eastAsia="es-ES"/>
        </w:rPr>
        <w:t>Desinventar</w:t>
      </w:r>
      <w:proofErr w:type="spellEnd"/>
      <w:r w:rsidRPr="00E207A2">
        <w:rPr>
          <w:rFonts w:ascii="Arial" w:eastAsia="Times New Roman" w:hAnsi="Arial" w:cs="Arial"/>
          <w:sz w:val="24"/>
          <w:szCs w:val="24"/>
          <w:lang w:eastAsia="es-ES"/>
        </w:rPr>
        <w:t>) para comparar el comportamiento actual de los fenómenos naturales con los registros históric</w:t>
      </w:r>
      <w:r w:rsidR="005B7671">
        <w:rPr>
          <w:rFonts w:ascii="Arial" w:eastAsia="Times New Roman" w:hAnsi="Arial" w:cs="Arial"/>
          <w:sz w:val="24"/>
          <w:szCs w:val="24"/>
          <w:lang w:eastAsia="es-ES"/>
        </w:rPr>
        <w:t>os del departamento</w:t>
      </w:r>
      <w:r w:rsidRPr="00E207A2">
        <w:rPr>
          <w:rFonts w:ascii="Arial" w:eastAsia="Times New Roman" w:hAnsi="Arial" w:cs="Arial"/>
          <w:sz w:val="24"/>
          <w:szCs w:val="24"/>
          <w:lang w:eastAsia="es-ES"/>
        </w:rPr>
        <w:t>.</w:t>
      </w:r>
    </w:p>
    <w:p w:rsidR="005B7671" w:rsidRPr="005B7671" w:rsidRDefault="005B7671" w:rsidP="005B7671">
      <w:pPr>
        <w:jc w:val="both"/>
        <w:rPr>
          <w:rFonts w:ascii="Arial" w:hAnsi="Arial" w:cs="Arial"/>
          <w:sz w:val="24"/>
          <w:szCs w:val="24"/>
        </w:rPr>
      </w:pPr>
      <w:r w:rsidRPr="005B7671">
        <w:rPr>
          <w:rFonts w:ascii="Arial" w:hAnsi="Arial" w:cs="Arial"/>
          <w:sz w:val="24"/>
          <w:szCs w:val="24"/>
        </w:rPr>
        <w:t>La e</w:t>
      </w:r>
      <w:r>
        <w:rPr>
          <w:rFonts w:ascii="Arial" w:hAnsi="Arial" w:cs="Arial"/>
          <w:sz w:val="24"/>
          <w:szCs w:val="24"/>
        </w:rPr>
        <w:t>x</w:t>
      </w:r>
      <w:r w:rsidRPr="005B7671">
        <w:rPr>
          <w:rFonts w:ascii="Arial" w:hAnsi="Arial" w:cs="Arial"/>
          <w:sz w:val="24"/>
          <w:szCs w:val="24"/>
        </w:rPr>
        <w:t>plotación del oro como amen</w:t>
      </w:r>
      <w:r>
        <w:rPr>
          <w:rFonts w:ascii="Arial" w:hAnsi="Arial" w:cs="Arial"/>
          <w:sz w:val="24"/>
          <w:szCs w:val="24"/>
        </w:rPr>
        <w:t>a</w:t>
      </w:r>
      <w:r w:rsidRPr="005B7671">
        <w:rPr>
          <w:rFonts w:ascii="Arial" w:hAnsi="Arial" w:cs="Arial"/>
          <w:sz w:val="24"/>
          <w:szCs w:val="24"/>
        </w:rPr>
        <w:t>za</w:t>
      </w:r>
      <w:r>
        <w:rPr>
          <w:rFonts w:ascii="Arial" w:hAnsi="Arial" w:cs="Arial"/>
          <w:sz w:val="24"/>
          <w:szCs w:val="24"/>
        </w:rPr>
        <w:t xml:space="preserve"> socio naturales no solo para el</w:t>
      </w:r>
      <w:r w:rsidRPr="005B7671">
        <w:rPr>
          <w:rFonts w:ascii="Arial" w:hAnsi="Arial" w:cs="Arial"/>
          <w:sz w:val="24"/>
          <w:szCs w:val="24"/>
        </w:rPr>
        <w:t xml:space="preserve"> departamento, sino para toda la Amazonía.</w:t>
      </w:r>
    </w:p>
    <w:p w:rsidR="005B7671" w:rsidRPr="005B7671" w:rsidRDefault="005B7671" w:rsidP="005B7671">
      <w:pPr>
        <w:jc w:val="both"/>
        <w:rPr>
          <w:rFonts w:ascii="Arial" w:hAnsi="Arial" w:cs="Arial"/>
          <w:sz w:val="24"/>
          <w:szCs w:val="24"/>
        </w:rPr>
      </w:pPr>
      <w:r w:rsidRPr="005B7671">
        <w:rPr>
          <w:rFonts w:ascii="Arial" w:hAnsi="Arial" w:cs="Arial"/>
          <w:sz w:val="24"/>
          <w:szCs w:val="24"/>
        </w:rPr>
        <w:t>Existe poca información sistematizada y la que hay se enc</w:t>
      </w:r>
      <w:r w:rsidR="0020396D">
        <w:rPr>
          <w:rFonts w:ascii="Arial" w:hAnsi="Arial" w:cs="Arial"/>
          <w:sz w:val="24"/>
          <w:szCs w:val="24"/>
        </w:rPr>
        <w:t>u</w:t>
      </w:r>
      <w:r w:rsidRPr="005B7671">
        <w:rPr>
          <w:rFonts w:ascii="Arial" w:hAnsi="Arial" w:cs="Arial"/>
          <w:sz w:val="24"/>
          <w:szCs w:val="24"/>
        </w:rPr>
        <w:t xml:space="preserve">entra muy generalizada que impiden determinar las dinámicas de manera actual que permitan la toma de decisiones en </w:t>
      </w:r>
      <w:r w:rsidR="0020396D" w:rsidRPr="005B7671">
        <w:rPr>
          <w:rFonts w:ascii="Arial" w:hAnsi="Arial" w:cs="Arial"/>
          <w:sz w:val="24"/>
          <w:szCs w:val="24"/>
        </w:rPr>
        <w:t>términos</w:t>
      </w:r>
      <w:r w:rsidRPr="005B7671">
        <w:rPr>
          <w:rFonts w:ascii="Arial" w:hAnsi="Arial" w:cs="Arial"/>
          <w:sz w:val="24"/>
          <w:szCs w:val="24"/>
        </w:rPr>
        <w:t xml:space="preserve"> de política pública.</w:t>
      </w:r>
    </w:p>
    <w:p w:rsidR="002D3268" w:rsidRPr="00E207A2" w:rsidRDefault="005B7671" w:rsidP="005B7671">
      <w:pPr>
        <w:jc w:val="both"/>
        <w:rPr>
          <w:rFonts w:ascii="Arial" w:hAnsi="Arial" w:cs="Arial"/>
          <w:sz w:val="24"/>
          <w:szCs w:val="24"/>
        </w:rPr>
      </w:pPr>
      <w:r w:rsidRPr="005B7671">
        <w:rPr>
          <w:rFonts w:ascii="Arial" w:hAnsi="Arial" w:cs="Arial"/>
          <w:sz w:val="24"/>
          <w:szCs w:val="24"/>
        </w:rPr>
        <w:t>No existe un base de datos única que pudiera ser alimentada por las diferentes fuentes de información y posteri</w:t>
      </w:r>
      <w:r w:rsidR="0020396D">
        <w:rPr>
          <w:rFonts w:ascii="Arial" w:hAnsi="Arial" w:cs="Arial"/>
          <w:sz w:val="24"/>
          <w:szCs w:val="24"/>
        </w:rPr>
        <w:t>o</w:t>
      </w:r>
      <w:r w:rsidRPr="005B7671">
        <w:rPr>
          <w:rFonts w:ascii="Arial" w:hAnsi="Arial" w:cs="Arial"/>
          <w:sz w:val="24"/>
          <w:szCs w:val="24"/>
        </w:rPr>
        <w:t>rmente el análisis de la información y la generación de resultados de tipo gráfico y espacial.</w:t>
      </w:r>
    </w:p>
    <w:p w:rsidR="0020396D" w:rsidRDefault="0020396D" w:rsidP="00E207A2">
      <w:pPr>
        <w:jc w:val="both"/>
        <w:rPr>
          <w:rFonts w:ascii="Arial" w:hAnsi="Arial" w:cs="Arial"/>
          <w:b/>
          <w:color w:val="FF0000"/>
          <w:sz w:val="24"/>
          <w:szCs w:val="24"/>
        </w:rPr>
      </w:pPr>
    </w:p>
    <w:p w:rsidR="00755AE7" w:rsidRPr="0020396D" w:rsidRDefault="00755AE7" w:rsidP="00E207A2">
      <w:pPr>
        <w:jc w:val="both"/>
        <w:rPr>
          <w:rFonts w:ascii="Arial" w:hAnsi="Arial" w:cs="Arial"/>
          <w:b/>
          <w:color w:val="FF0000"/>
          <w:sz w:val="24"/>
          <w:szCs w:val="24"/>
          <w:u w:val="single"/>
        </w:rPr>
      </w:pPr>
      <w:r w:rsidRPr="0020396D">
        <w:rPr>
          <w:rFonts w:ascii="Arial" w:hAnsi="Arial" w:cs="Arial"/>
          <w:b/>
          <w:color w:val="FF0000"/>
          <w:sz w:val="24"/>
          <w:szCs w:val="24"/>
          <w:u w:val="single"/>
        </w:rPr>
        <w:t>ACCIONES DE CONCURRENCIA:</w:t>
      </w:r>
    </w:p>
    <w:p w:rsidR="00755AE7" w:rsidRPr="00E207A2" w:rsidRDefault="00755AE7" w:rsidP="00E207A2">
      <w:pPr>
        <w:spacing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 xml:space="preserve">La correlación entre el </w:t>
      </w:r>
      <w:r w:rsidRPr="00E207A2">
        <w:rPr>
          <w:rFonts w:ascii="Arial" w:eastAsia="Times New Roman" w:hAnsi="Arial" w:cs="Arial"/>
          <w:b/>
          <w:bCs/>
          <w:sz w:val="24"/>
          <w:szCs w:val="24"/>
          <w:lang w:eastAsia="es-ES"/>
        </w:rPr>
        <w:t>Plan Departamental de Gestión del Riesgo (PDGRD) del Caquetá</w:t>
      </w:r>
      <w:r w:rsidRPr="00E207A2">
        <w:rPr>
          <w:rFonts w:ascii="Arial" w:eastAsia="Times New Roman" w:hAnsi="Arial" w:cs="Arial"/>
          <w:sz w:val="24"/>
          <w:szCs w:val="24"/>
          <w:lang w:eastAsia="es-ES"/>
        </w:rPr>
        <w:t xml:space="preserve"> y un proyecto de </w:t>
      </w:r>
      <w:r w:rsidRPr="00E207A2">
        <w:rPr>
          <w:rFonts w:ascii="Arial" w:eastAsia="Times New Roman" w:hAnsi="Arial" w:cs="Arial"/>
          <w:b/>
          <w:bCs/>
          <w:sz w:val="24"/>
          <w:szCs w:val="24"/>
          <w:lang w:eastAsia="es-ES"/>
        </w:rPr>
        <w:t>Sala de Monitoreo del Ministerio de Minas y Energía</w:t>
      </w:r>
      <w:r w:rsidRPr="00E207A2">
        <w:rPr>
          <w:rFonts w:ascii="Arial" w:eastAsia="Times New Roman" w:hAnsi="Arial" w:cs="Arial"/>
          <w:sz w:val="24"/>
          <w:szCs w:val="24"/>
          <w:lang w:eastAsia="es-ES"/>
        </w:rPr>
        <w:t xml:space="preserve"> es crítica debido a la naturaleza extractiva y energética que el documento proyecta para el departamento.</w:t>
      </w:r>
    </w:p>
    <w:p w:rsidR="00755AE7" w:rsidRPr="00E207A2" w:rsidRDefault="00755AE7" w:rsidP="00E207A2">
      <w:pPr>
        <w:spacing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Aunque el plan es de 2018, establece los fundamentos técnicos para que estas dos herramientas (el plan regional y la sala nacional) trabajen juntas en los siguientes puntos:</w:t>
      </w:r>
    </w:p>
    <w:p w:rsidR="00755AE7" w:rsidRPr="00E207A2" w:rsidRDefault="00755AE7" w:rsidP="00E207A2">
      <w:pPr>
        <w:spacing w:line="240" w:lineRule="auto"/>
        <w:jc w:val="both"/>
        <w:rPr>
          <w:rFonts w:ascii="Arial" w:eastAsia="Times New Roman" w:hAnsi="Arial" w:cs="Arial"/>
          <w:b/>
          <w:bCs/>
          <w:sz w:val="24"/>
          <w:szCs w:val="24"/>
          <w:lang w:eastAsia="es-ES"/>
        </w:rPr>
      </w:pPr>
      <w:r w:rsidRPr="00E207A2">
        <w:rPr>
          <w:rFonts w:ascii="Arial" w:eastAsia="Times New Roman" w:hAnsi="Arial" w:cs="Arial"/>
          <w:b/>
          <w:bCs/>
          <w:sz w:val="24"/>
          <w:szCs w:val="24"/>
          <w:lang w:eastAsia="es-ES"/>
        </w:rPr>
        <w:t>1. Vigilancia de los "Nuevos Escenarios de Riesgo"</w:t>
      </w:r>
    </w:p>
    <w:p w:rsidR="00755AE7" w:rsidRPr="00E207A2" w:rsidRDefault="00755AE7" w:rsidP="00E207A2">
      <w:pPr>
        <w:spacing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 xml:space="preserve">El PDGRD (Capítulos 4 y 5) advierte explícitamente sobre el incremento de </w:t>
      </w:r>
      <w:r w:rsidRPr="00E207A2">
        <w:rPr>
          <w:rFonts w:ascii="Arial" w:eastAsia="Times New Roman" w:hAnsi="Arial" w:cs="Arial"/>
          <w:b/>
          <w:bCs/>
          <w:sz w:val="24"/>
          <w:szCs w:val="24"/>
          <w:lang w:eastAsia="es-ES"/>
        </w:rPr>
        <w:t>megaproyectos minero-energéticos</w:t>
      </w:r>
      <w:r w:rsidRPr="00E207A2">
        <w:rPr>
          <w:rFonts w:ascii="Arial" w:eastAsia="Times New Roman" w:hAnsi="Arial" w:cs="Arial"/>
          <w:sz w:val="24"/>
          <w:szCs w:val="24"/>
          <w:lang w:eastAsia="es-ES"/>
        </w:rPr>
        <w:t xml:space="preserve"> en el Caquetá tras el posconflicto.</w:t>
      </w:r>
    </w:p>
    <w:p w:rsidR="00755AE7" w:rsidRDefault="00755AE7" w:rsidP="00E207A2">
      <w:pPr>
        <w:numPr>
          <w:ilvl w:val="0"/>
          <w:numId w:val="17"/>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Correlación:</w:t>
      </w:r>
      <w:r w:rsidRPr="00E207A2">
        <w:rPr>
          <w:rFonts w:ascii="Arial" w:eastAsia="Times New Roman" w:hAnsi="Arial" w:cs="Arial"/>
          <w:sz w:val="24"/>
          <w:szCs w:val="24"/>
          <w:lang w:eastAsia="es-ES"/>
        </w:rPr>
        <w:t xml:space="preserve"> Mientras el Ministerio monitorea la operatividad y producción, la gestión del riesgo local utiliza esos datos para vigilar la estabilidad de los suelos y posibles vertimientos químicos en cuencas hídricas que abastecen a la población.</w:t>
      </w:r>
    </w:p>
    <w:p w:rsidR="0020396D" w:rsidRDefault="0020396D" w:rsidP="0020396D">
      <w:pPr>
        <w:spacing w:after="0" w:line="240" w:lineRule="auto"/>
        <w:jc w:val="both"/>
        <w:rPr>
          <w:rFonts w:ascii="Arial" w:eastAsia="Times New Roman" w:hAnsi="Arial" w:cs="Arial"/>
          <w:b/>
          <w:bCs/>
          <w:sz w:val="24"/>
          <w:szCs w:val="24"/>
          <w:lang w:eastAsia="es-ES"/>
        </w:rPr>
      </w:pPr>
    </w:p>
    <w:p w:rsidR="0020396D" w:rsidRDefault="0020396D" w:rsidP="0020396D">
      <w:pPr>
        <w:spacing w:after="0" w:line="240" w:lineRule="auto"/>
        <w:jc w:val="both"/>
        <w:rPr>
          <w:rFonts w:ascii="Arial" w:eastAsia="Times New Roman" w:hAnsi="Arial" w:cs="Arial"/>
          <w:b/>
          <w:bCs/>
          <w:sz w:val="24"/>
          <w:szCs w:val="24"/>
          <w:lang w:eastAsia="es-ES"/>
        </w:rPr>
      </w:pPr>
    </w:p>
    <w:p w:rsidR="0020396D" w:rsidRPr="00E207A2" w:rsidRDefault="0020396D" w:rsidP="0020396D">
      <w:pPr>
        <w:spacing w:after="0" w:line="240" w:lineRule="auto"/>
        <w:jc w:val="both"/>
        <w:rPr>
          <w:rFonts w:ascii="Arial" w:eastAsia="Times New Roman" w:hAnsi="Arial" w:cs="Arial"/>
          <w:sz w:val="24"/>
          <w:szCs w:val="24"/>
          <w:lang w:eastAsia="es-ES"/>
        </w:rPr>
      </w:pPr>
    </w:p>
    <w:p w:rsidR="00755AE7" w:rsidRPr="00E207A2" w:rsidRDefault="00755AE7" w:rsidP="00E207A2">
      <w:pPr>
        <w:spacing w:line="240" w:lineRule="auto"/>
        <w:jc w:val="both"/>
        <w:rPr>
          <w:rFonts w:ascii="Arial" w:eastAsia="Times New Roman" w:hAnsi="Arial" w:cs="Arial"/>
          <w:b/>
          <w:bCs/>
          <w:sz w:val="24"/>
          <w:szCs w:val="24"/>
          <w:lang w:eastAsia="es-ES"/>
        </w:rPr>
      </w:pPr>
      <w:r w:rsidRPr="00E207A2">
        <w:rPr>
          <w:rFonts w:ascii="Arial" w:eastAsia="Times New Roman" w:hAnsi="Arial" w:cs="Arial"/>
          <w:b/>
          <w:bCs/>
          <w:sz w:val="24"/>
          <w:szCs w:val="24"/>
          <w:lang w:eastAsia="es-ES"/>
        </w:rPr>
        <w:t>2. Prevención de Conflictos Socio-Ambientales</w:t>
      </w:r>
    </w:p>
    <w:p w:rsidR="00755AE7" w:rsidRPr="00E207A2" w:rsidRDefault="00755AE7" w:rsidP="00E207A2">
      <w:pPr>
        <w:spacing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 xml:space="preserve">El documento menciona el riesgo por </w:t>
      </w:r>
      <w:r w:rsidRPr="00E207A2">
        <w:rPr>
          <w:rFonts w:ascii="Arial" w:eastAsia="Times New Roman" w:hAnsi="Arial" w:cs="Arial"/>
          <w:b/>
          <w:bCs/>
          <w:sz w:val="24"/>
          <w:szCs w:val="24"/>
          <w:lang w:eastAsia="es-ES"/>
        </w:rPr>
        <w:t>protestas civiles</w:t>
      </w:r>
      <w:r w:rsidRPr="00E207A2">
        <w:rPr>
          <w:rFonts w:ascii="Arial" w:eastAsia="Times New Roman" w:hAnsi="Arial" w:cs="Arial"/>
          <w:sz w:val="24"/>
          <w:szCs w:val="24"/>
          <w:lang w:eastAsia="es-ES"/>
        </w:rPr>
        <w:t xml:space="preserve"> y conflictos territoriales der</w:t>
      </w:r>
      <w:r w:rsidR="0020396D">
        <w:rPr>
          <w:rFonts w:ascii="Arial" w:eastAsia="Times New Roman" w:hAnsi="Arial" w:cs="Arial"/>
          <w:sz w:val="24"/>
          <w:szCs w:val="24"/>
          <w:lang w:eastAsia="es-ES"/>
        </w:rPr>
        <w:t>ivados de la minería</w:t>
      </w:r>
      <w:r w:rsidRPr="00E207A2">
        <w:rPr>
          <w:rFonts w:ascii="Arial" w:eastAsia="Times New Roman" w:hAnsi="Arial" w:cs="Arial"/>
          <w:sz w:val="24"/>
          <w:szCs w:val="24"/>
          <w:lang w:eastAsia="es-ES"/>
        </w:rPr>
        <w:t>.</w:t>
      </w:r>
    </w:p>
    <w:p w:rsidR="00755AE7" w:rsidRDefault="00755AE7" w:rsidP="00E207A2">
      <w:pPr>
        <w:numPr>
          <w:ilvl w:val="0"/>
          <w:numId w:val="18"/>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Correlación:</w:t>
      </w:r>
      <w:r w:rsidRPr="00E207A2">
        <w:rPr>
          <w:rFonts w:ascii="Arial" w:eastAsia="Times New Roman" w:hAnsi="Arial" w:cs="Arial"/>
          <w:sz w:val="24"/>
          <w:szCs w:val="24"/>
          <w:lang w:eastAsia="es-ES"/>
        </w:rPr>
        <w:t xml:space="preserve"> Una sala de monitoreo integral no solo observa datos físicos, sino que sirve como alerta temprana para situaciones de orden público o bloqueos que impidan la llegada de asistencia humanitaria en caso de desastres en zonas de influencia minera.</w:t>
      </w:r>
    </w:p>
    <w:p w:rsidR="0020396D" w:rsidRPr="00E207A2" w:rsidRDefault="0020396D" w:rsidP="0020396D">
      <w:pPr>
        <w:spacing w:after="0" w:line="240" w:lineRule="auto"/>
        <w:jc w:val="both"/>
        <w:rPr>
          <w:rFonts w:ascii="Arial" w:eastAsia="Times New Roman" w:hAnsi="Arial" w:cs="Arial"/>
          <w:sz w:val="24"/>
          <w:szCs w:val="24"/>
          <w:lang w:eastAsia="es-ES"/>
        </w:rPr>
      </w:pPr>
    </w:p>
    <w:p w:rsidR="00755AE7" w:rsidRPr="00E207A2" w:rsidRDefault="00755AE7" w:rsidP="00E207A2">
      <w:pPr>
        <w:spacing w:line="240" w:lineRule="auto"/>
        <w:jc w:val="both"/>
        <w:rPr>
          <w:rFonts w:ascii="Arial" w:eastAsia="Times New Roman" w:hAnsi="Arial" w:cs="Arial"/>
          <w:b/>
          <w:bCs/>
          <w:sz w:val="24"/>
          <w:szCs w:val="24"/>
          <w:lang w:eastAsia="es-ES"/>
        </w:rPr>
      </w:pPr>
      <w:r w:rsidRPr="00E207A2">
        <w:rPr>
          <w:rFonts w:ascii="Arial" w:eastAsia="Times New Roman" w:hAnsi="Arial" w:cs="Arial"/>
          <w:b/>
          <w:bCs/>
          <w:sz w:val="24"/>
          <w:szCs w:val="24"/>
          <w:lang w:eastAsia="es-ES"/>
        </w:rPr>
        <w:t>3. Monitoreo de Pasivos Ambientales y Sismicidad Inducida</w:t>
      </w:r>
    </w:p>
    <w:p w:rsidR="00755AE7" w:rsidRPr="00E207A2" w:rsidRDefault="00755AE7" w:rsidP="00E207A2">
      <w:pPr>
        <w:spacing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 xml:space="preserve">El plan identifica al Caquetá como una zona con </w:t>
      </w:r>
      <w:r w:rsidRPr="00E207A2">
        <w:rPr>
          <w:rFonts w:ascii="Arial" w:eastAsia="Times New Roman" w:hAnsi="Arial" w:cs="Arial"/>
          <w:b/>
          <w:bCs/>
          <w:sz w:val="24"/>
          <w:szCs w:val="24"/>
          <w:lang w:eastAsia="es-ES"/>
        </w:rPr>
        <w:t>amenaza sísmica</w:t>
      </w:r>
      <w:r w:rsidR="0020396D">
        <w:rPr>
          <w:rFonts w:ascii="Arial" w:eastAsia="Times New Roman" w:hAnsi="Arial" w:cs="Arial"/>
          <w:sz w:val="24"/>
          <w:szCs w:val="24"/>
          <w:lang w:eastAsia="es-ES"/>
        </w:rPr>
        <w:t xml:space="preserve"> </w:t>
      </w:r>
      <w:r w:rsidRPr="00E207A2">
        <w:rPr>
          <w:rFonts w:ascii="Arial" w:eastAsia="Times New Roman" w:hAnsi="Arial" w:cs="Arial"/>
          <w:sz w:val="24"/>
          <w:szCs w:val="24"/>
          <w:lang w:eastAsia="es-ES"/>
        </w:rPr>
        <w:t>y procesos de con</w:t>
      </w:r>
      <w:r w:rsidR="0020396D">
        <w:rPr>
          <w:rFonts w:ascii="Arial" w:eastAsia="Times New Roman" w:hAnsi="Arial" w:cs="Arial"/>
          <w:sz w:val="24"/>
          <w:szCs w:val="24"/>
          <w:lang w:eastAsia="es-ES"/>
        </w:rPr>
        <w:t>taminación ambiental</w:t>
      </w:r>
      <w:r w:rsidRPr="00E207A2">
        <w:rPr>
          <w:rFonts w:ascii="Arial" w:eastAsia="Times New Roman" w:hAnsi="Arial" w:cs="Arial"/>
          <w:sz w:val="24"/>
          <w:szCs w:val="24"/>
          <w:lang w:eastAsia="es-ES"/>
        </w:rPr>
        <w:t>.</w:t>
      </w:r>
    </w:p>
    <w:p w:rsidR="00755AE7" w:rsidRDefault="00755AE7" w:rsidP="00E207A2">
      <w:pPr>
        <w:numPr>
          <w:ilvl w:val="0"/>
          <w:numId w:val="19"/>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Correlación:</w:t>
      </w:r>
      <w:r w:rsidRPr="00E207A2">
        <w:rPr>
          <w:rFonts w:ascii="Arial" w:eastAsia="Times New Roman" w:hAnsi="Arial" w:cs="Arial"/>
          <w:sz w:val="24"/>
          <w:szCs w:val="24"/>
          <w:lang w:eastAsia="es-ES"/>
        </w:rPr>
        <w:t xml:space="preserve"> Las actividades del Ministerio (como la exploración de hidrocarburos o minería a gran escala) pueden alterar la estabilidad del subsuelo. La sala de monitoreo del Ministerio debe cruzar sus datos con los del </w:t>
      </w:r>
      <w:r w:rsidRPr="00E207A2">
        <w:rPr>
          <w:rFonts w:ascii="Arial" w:eastAsia="Times New Roman" w:hAnsi="Arial" w:cs="Arial"/>
          <w:b/>
          <w:bCs/>
          <w:sz w:val="24"/>
          <w:szCs w:val="24"/>
          <w:lang w:eastAsia="es-ES"/>
        </w:rPr>
        <w:t>Servicio Geológico Colombiano (SGC)</w:t>
      </w:r>
      <w:r w:rsidRPr="00E207A2">
        <w:rPr>
          <w:rFonts w:ascii="Arial" w:eastAsia="Times New Roman" w:hAnsi="Arial" w:cs="Arial"/>
          <w:sz w:val="24"/>
          <w:szCs w:val="24"/>
          <w:lang w:eastAsia="es-ES"/>
        </w:rPr>
        <w:t>, que es una de las entidades clave que el PDGRD integra para el conocimiento del riesgo departamental.</w:t>
      </w:r>
    </w:p>
    <w:p w:rsidR="0020396D" w:rsidRPr="00E207A2" w:rsidRDefault="0020396D" w:rsidP="0020396D">
      <w:pPr>
        <w:spacing w:after="0" w:line="240" w:lineRule="auto"/>
        <w:jc w:val="both"/>
        <w:rPr>
          <w:rFonts w:ascii="Arial" w:eastAsia="Times New Roman" w:hAnsi="Arial" w:cs="Arial"/>
          <w:sz w:val="24"/>
          <w:szCs w:val="24"/>
          <w:lang w:eastAsia="es-ES"/>
        </w:rPr>
      </w:pPr>
    </w:p>
    <w:p w:rsidR="00755AE7" w:rsidRPr="00E207A2" w:rsidRDefault="0020396D" w:rsidP="00E207A2">
      <w:pPr>
        <w:spacing w:line="240" w:lineRule="auto"/>
        <w:jc w:val="both"/>
        <w:rPr>
          <w:rFonts w:ascii="Arial" w:eastAsia="Times New Roman" w:hAnsi="Arial" w:cs="Arial"/>
          <w:b/>
          <w:bCs/>
          <w:sz w:val="24"/>
          <w:szCs w:val="24"/>
          <w:lang w:eastAsia="es-ES"/>
        </w:rPr>
      </w:pPr>
      <w:r>
        <w:rPr>
          <w:rFonts w:ascii="Arial" w:eastAsia="Times New Roman" w:hAnsi="Arial" w:cs="Arial"/>
          <w:b/>
          <w:bCs/>
          <w:sz w:val="24"/>
          <w:szCs w:val="24"/>
          <w:lang w:eastAsia="es-ES"/>
        </w:rPr>
        <w:t>4</w:t>
      </w:r>
      <w:r w:rsidR="00755AE7" w:rsidRPr="00E207A2">
        <w:rPr>
          <w:rFonts w:ascii="Arial" w:eastAsia="Times New Roman" w:hAnsi="Arial" w:cs="Arial"/>
          <w:b/>
          <w:bCs/>
          <w:sz w:val="24"/>
          <w:szCs w:val="24"/>
          <w:lang w:eastAsia="es-ES"/>
        </w:rPr>
        <w:t>. Articulación Normativa</w:t>
      </w:r>
    </w:p>
    <w:p w:rsidR="00755AE7" w:rsidRPr="00E207A2" w:rsidRDefault="00755AE7" w:rsidP="00E207A2">
      <w:pPr>
        <w:spacing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 xml:space="preserve">Bajo el principio de </w:t>
      </w:r>
      <w:r w:rsidRPr="00E207A2">
        <w:rPr>
          <w:rFonts w:ascii="Arial" w:eastAsia="Times New Roman" w:hAnsi="Arial" w:cs="Arial"/>
          <w:b/>
          <w:bCs/>
          <w:sz w:val="24"/>
          <w:szCs w:val="24"/>
          <w:lang w:eastAsia="es-ES"/>
        </w:rPr>
        <w:t>Concurrencia</w:t>
      </w:r>
      <w:r w:rsidRPr="00E207A2">
        <w:rPr>
          <w:rFonts w:ascii="Arial" w:eastAsia="Times New Roman" w:hAnsi="Arial" w:cs="Arial"/>
          <w:sz w:val="24"/>
          <w:szCs w:val="24"/>
          <w:lang w:eastAsia="es-ES"/>
        </w:rPr>
        <w:t xml:space="preserve">, el Ministerio de Minas, como entidad del orden nacional, debe asegurar que sus proyectos en el Caquetá incorporen el análisis de riesgo detallado en este plan (Sección 1.9.2.5: </w:t>
      </w:r>
      <w:r w:rsidRPr="00E207A2">
        <w:rPr>
          <w:rFonts w:ascii="Arial" w:eastAsia="Times New Roman" w:hAnsi="Arial" w:cs="Arial"/>
          <w:i/>
          <w:iCs/>
          <w:sz w:val="24"/>
          <w:szCs w:val="24"/>
          <w:lang w:eastAsia="es-ES"/>
        </w:rPr>
        <w:t>Incorporación de la Gestión del Riesgo en la Inversión Pública</w:t>
      </w:r>
      <w:r w:rsidRPr="00E207A2">
        <w:rPr>
          <w:rFonts w:ascii="Arial" w:eastAsia="Times New Roman" w:hAnsi="Arial" w:cs="Arial"/>
          <w:sz w:val="24"/>
          <w:szCs w:val="24"/>
          <w:lang w:eastAsia="es-ES"/>
        </w:rPr>
        <w:t>).</w:t>
      </w:r>
    </w:p>
    <w:p w:rsidR="00755AE7" w:rsidRPr="00E207A2" w:rsidRDefault="0020396D" w:rsidP="00E207A2">
      <w:pPr>
        <w:jc w:val="both"/>
        <w:rPr>
          <w:rFonts w:ascii="Arial" w:hAnsi="Arial" w:cs="Arial"/>
          <w:sz w:val="24"/>
          <w:szCs w:val="24"/>
        </w:rPr>
      </w:pPr>
      <w:r w:rsidRPr="0020396D">
        <w:rPr>
          <w:rFonts w:ascii="Arial" w:hAnsi="Arial" w:cs="Arial"/>
          <w:sz w:val="24"/>
          <w:szCs w:val="24"/>
        </w:rPr>
        <w:t>Una de las acciones específicas de los territorios es la de apoyar la implementación de los programas que proporcionen herramientas que suministren información sobre amenazas, exposición y vulnerabilidad.</w:t>
      </w:r>
    </w:p>
    <w:p w:rsidR="0020396D" w:rsidRDefault="0020396D" w:rsidP="00E207A2">
      <w:pPr>
        <w:jc w:val="both"/>
        <w:rPr>
          <w:rFonts w:ascii="Arial" w:hAnsi="Arial" w:cs="Arial"/>
          <w:b/>
          <w:color w:val="FF0000"/>
          <w:sz w:val="24"/>
          <w:szCs w:val="24"/>
        </w:rPr>
      </w:pPr>
    </w:p>
    <w:p w:rsidR="00755AE7" w:rsidRPr="0020396D" w:rsidRDefault="00755AE7" w:rsidP="00E207A2">
      <w:pPr>
        <w:jc w:val="both"/>
        <w:rPr>
          <w:rFonts w:ascii="Arial" w:hAnsi="Arial" w:cs="Arial"/>
          <w:b/>
          <w:color w:val="FF0000"/>
          <w:sz w:val="24"/>
          <w:szCs w:val="24"/>
          <w:u w:val="single"/>
        </w:rPr>
      </w:pPr>
      <w:r w:rsidRPr="0020396D">
        <w:rPr>
          <w:rFonts w:ascii="Arial" w:hAnsi="Arial" w:cs="Arial"/>
          <w:b/>
          <w:color w:val="FF0000"/>
          <w:sz w:val="24"/>
          <w:szCs w:val="24"/>
          <w:u w:val="single"/>
        </w:rPr>
        <w:t>VARIABLES DE CONCURRENCIA:</w:t>
      </w:r>
    </w:p>
    <w:p w:rsidR="00755AE7" w:rsidRDefault="00755AE7" w:rsidP="00E207A2">
      <w:pPr>
        <w:spacing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 xml:space="preserve">Las </w:t>
      </w:r>
      <w:r w:rsidRPr="00E207A2">
        <w:rPr>
          <w:rFonts w:ascii="Arial" w:eastAsia="Times New Roman" w:hAnsi="Arial" w:cs="Arial"/>
          <w:b/>
          <w:bCs/>
          <w:sz w:val="24"/>
          <w:szCs w:val="24"/>
          <w:lang w:eastAsia="es-ES"/>
        </w:rPr>
        <w:t>variables de concurrencia</w:t>
      </w:r>
      <w:r w:rsidRPr="00E207A2">
        <w:rPr>
          <w:rFonts w:ascii="Arial" w:eastAsia="Times New Roman" w:hAnsi="Arial" w:cs="Arial"/>
          <w:sz w:val="24"/>
          <w:szCs w:val="24"/>
          <w:lang w:eastAsia="es-ES"/>
        </w:rPr>
        <w:t xml:space="preserve"> representan los datos específicos que deben ser compartidos y monitoreados simultáneamente entre la Sala de Monitoreo del departamento y el Ministerio de Minas y Energía para garantizar la seguridad territorial en zonas de influencia minero-energética.</w:t>
      </w:r>
    </w:p>
    <w:p w:rsidR="00710D53" w:rsidRDefault="00710D53" w:rsidP="00E207A2">
      <w:pPr>
        <w:spacing w:line="240" w:lineRule="auto"/>
        <w:jc w:val="both"/>
      </w:pPr>
      <w:r w:rsidRPr="00710D53">
        <w:rPr>
          <w:rFonts w:ascii="Arial" w:eastAsia="Times New Roman" w:hAnsi="Arial" w:cs="Arial"/>
          <w:sz w:val="24"/>
          <w:szCs w:val="24"/>
          <w:lang w:eastAsia="es-ES"/>
        </w:rPr>
        <w:t>Para la realización del PDGR realizaron una selección, validación y análisis de la información.</w:t>
      </w:r>
      <w:r w:rsidRPr="00710D53">
        <w:t xml:space="preserve"> </w:t>
      </w:r>
    </w:p>
    <w:p w:rsidR="00755AE7" w:rsidRPr="00E207A2" w:rsidRDefault="00755AE7" w:rsidP="00E207A2">
      <w:pPr>
        <w:spacing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 xml:space="preserve">De acuerdo con el enfoque del </w:t>
      </w:r>
      <w:r w:rsidRPr="00E207A2">
        <w:rPr>
          <w:rFonts w:ascii="Arial" w:eastAsia="Times New Roman" w:hAnsi="Arial" w:cs="Arial"/>
          <w:b/>
          <w:bCs/>
          <w:sz w:val="24"/>
          <w:szCs w:val="24"/>
          <w:lang w:eastAsia="es-ES"/>
        </w:rPr>
        <w:t>PDGRD de Caquetá (2018)</w:t>
      </w:r>
      <w:r w:rsidRPr="00E207A2">
        <w:rPr>
          <w:rFonts w:ascii="Arial" w:eastAsia="Times New Roman" w:hAnsi="Arial" w:cs="Arial"/>
          <w:sz w:val="24"/>
          <w:szCs w:val="24"/>
          <w:lang w:eastAsia="es-ES"/>
        </w:rPr>
        <w:t xml:space="preserve"> y los principios de concurrencia nacional, estas variables se dividen en cuatro categorías técnicas:</w:t>
      </w:r>
    </w:p>
    <w:p w:rsidR="00755AE7" w:rsidRPr="00E207A2" w:rsidRDefault="00755AE7" w:rsidP="00E207A2">
      <w:pPr>
        <w:spacing w:line="240" w:lineRule="auto"/>
        <w:jc w:val="both"/>
        <w:rPr>
          <w:rFonts w:ascii="Arial" w:eastAsia="Times New Roman" w:hAnsi="Arial" w:cs="Arial"/>
          <w:b/>
          <w:bCs/>
          <w:sz w:val="24"/>
          <w:szCs w:val="24"/>
          <w:lang w:eastAsia="es-ES"/>
        </w:rPr>
      </w:pPr>
      <w:r w:rsidRPr="00E207A2">
        <w:rPr>
          <w:rFonts w:ascii="Arial" w:eastAsia="Times New Roman" w:hAnsi="Arial" w:cs="Arial"/>
          <w:b/>
          <w:bCs/>
          <w:sz w:val="24"/>
          <w:szCs w:val="24"/>
          <w:lang w:eastAsia="es-ES"/>
        </w:rPr>
        <w:t>1. Variables Físicas y Geodinámicas</w:t>
      </w:r>
    </w:p>
    <w:p w:rsidR="00755AE7" w:rsidRPr="00E207A2" w:rsidRDefault="00755AE7" w:rsidP="00E207A2">
      <w:pPr>
        <w:spacing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Son los datos que alertan sobre la estabilidad del terreno donde operan los megaproyectos:</w:t>
      </w:r>
    </w:p>
    <w:p w:rsidR="00755AE7" w:rsidRPr="00E207A2" w:rsidRDefault="00755AE7" w:rsidP="00E207A2">
      <w:pPr>
        <w:numPr>
          <w:ilvl w:val="0"/>
          <w:numId w:val="21"/>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lastRenderedPageBreak/>
        <w:t>Sismicidad Inducida o Natural:</w:t>
      </w:r>
      <w:r w:rsidRPr="00E207A2">
        <w:rPr>
          <w:rFonts w:ascii="Arial" w:eastAsia="Times New Roman" w:hAnsi="Arial" w:cs="Arial"/>
          <w:sz w:val="24"/>
          <w:szCs w:val="24"/>
          <w:lang w:eastAsia="es-ES"/>
        </w:rPr>
        <w:t xml:space="preserve"> Reportes en tiempo real del Servicio Geológico Colombiano (SGC) sobre movimientos telúricos en áreas de explotación.</w:t>
      </w:r>
    </w:p>
    <w:p w:rsidR="00755AE7" w:rsidRPr="00E207A2" w:rsidRDefault="00755AE7" w:rsidP="00E207A2">
      <w:pPr>
        <w:numPr>
          <w:ilvl w:val="0"/>
          <w:numId w:val="21"/>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Estabilidad de Taludes y Suelos:</w:t>
      </w:r>
      <w:r w:rsidRPr="00E207A2">
        <w:rPr>
          <w:rFonts w:ascii="Arial" w:eastAsia="Times New Roman" w:hAnsi="Arial" w:cs="Arial"/>
          <w:sz w:val="24"/>
          <w:szCs w:val="24"/>
          <w:lang w:eastAsia="es-ES"/>
        </w:rPr>
        <w:t xml:space="preserve"> Monitoreo de procesos de remoción en masa (deslizamientos) en zonas de servidumbre o vías de acceso a los bloques (ej. Bloque El Nogal).</w:t>
      </w:r>
    </w:p>
    <w:p w:rsidR="00755AE7" w:rsidRDefault="00755AE7" w:rsidP="00E207A2">
      <w:pPr>
        <w:numPr>
          <w:ilvl w:val="0"/>
          <w:numId w:val="21"/>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 xml:space="preserve">Variables </w:t>
      </w:r>
      <w:proofErr w:type="spellStart"/>
      <w:r w:rsidRPr="00E207A2">
        <w:rPr>
          <w:rFonts w:ascii="Arial" w:eastAsia="Times New Roman" w:hAnsi="Arial" w:cs="Arial"/>
          <w:b/>
          <w:bCs/>
          <w:sz w:val="24"/>
          <w:szCs w:val="24"/>
          <w:lang w:eastAsia="es-ES"/>
        </w:rPr>
        <w:t>Hidrometeorológicas</w:t>
      </w:r>
      <w:proofErr w:type="spellEnd"/>
      <w:r w:rsidRPr="00E207A2">
        <w:rPr>
          <w:rFonts w:ascii="Arial" w:eastAsia="Times New Roman" w:hAnsi="Arial" w:cs="Arial"/>
          <w:b/>
          <w:bCs/>
          <w:sz w:val="24"/>
          <w:szCs w:val="24"/>
          <w:lang w:eastAsia="es-ES"/>
        </w:rPr>
        <w:t>:</w:t>
      </w:r>
      <w:r w:rsidRPr="00E207A2">
        <w:rPr>
          <w:rFonts w:ascii="Arial" w:eastAsia="Times New Roman" w:hAnsi="Arial" w:cs="Arial"/>
          <w:sz w:val="24"/>
          <w:szCs w:val="24"/>
          <w:lang w:eastAsia="es-ES"/>
        </w:rPr>
        <w:t xml:space="preserve"> Niveles de precipitaciones y caudales en cuencas donde hay vertimientos o captación de agua para procesos mineros.</w:t>
      </w:r>
    </w:p>
    <w:p w:rsidR="00710D53" w:rsidRPr="00E207A2" w:rsidRDefault="00710D53" w:rsidP="00710D53">
      <w:pPr>
        <w:spacing w:after="0" w:line="240" w:lineRule="auto"/>
        <w:jc w:val="both"/>
        <w:rPr>
          <w:rFonts w:ascii="Arial" w:eastAsia="Times New Roman" w:hAnsi="Arial" w:cs="Arial"/>
          <w:sz w:val="24"/>
          <w:szCs w:val="24"/>
          <w:lang w:eastAsia="es-ES"/>
        </w:rPr>
      </w:pPr>
    </w:p>
    <w:p w:rsidR="00755AE7" w:rsidRPr="00E207A2" w:rsidRDefault="00755AE7" w:rsidP="00E207A2">
      <w:pPr>
        <w:spacing w:line="240" w:lineRule="auto"/>
        <w:jc w:val="both"/>
        <w:rPr>
          <w:rFonts w:ascii="Arial" w:eastAsia="Times New Roman" w:hAnsi="Arial" w:cs="Arial"/>
          <w:b/>
          <w:bCs/>
          <w:sz w:val="24"/>
          <w:szCs w:val="24"/>
          <w:lang w:eastAsia="es-ES"/>
        </w:rPr>
      </w:pPr>
      <w:r w:rsidRPr="00E207A2">
        <w:rPr>
          <w:rFonts w:ascii="Arial" w:eastAsia="Times New Roman" w:hAnsi="Arial" w:cs="Arial"/>
          <w:b/>
          <w:bCs/>
          <w:sz w:val="24"/>
          <w:szCs w:val="24"/>
          <w:lang w:eastAsia="es-ES"/>
        </w:rPr>
        <w:t>2. Variables de Infraestructura y Operación</w:t>
      </w:r>
    </w:p>
    <w:p w:rsidR="00755AE7" w:rsidRPr="00E207A2" w:rsidRDefault="00755AE7" w:rsidP="00E207A2">
      <w:pPr>
        <w:spacing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Datos sobre la integridad de los activos estratégicos que, de fallar, generarían un desastre:</w:t>
      </w:r>
    </w:p>
    <w:p w:rsidR="00755AE7" w:rsidRPr="00E207A2" w:rsidRDefault="00755AE7" w:rsidP="00E207A2">
      <w:pPr>
        <w:numPr>
          <w:ilvl w:val="0"/>
          <w:numId w:val="22"/>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Estado de Redes y Ductos:</w:t>
      </w:r>
      <w:r w:rsidRPr="00E207A2">
        <w:rPr>
          <w:rFonts w:ascii="Arial" w:eastAsia="Times New Roman" w:hAnsi="Arial" w:cs="Arial"/>
          <w:sz w:val="24"/>
          <w:szCs w:val="24"/>
          <w:lang w:eastAsia="es-ES"/>
        </w:rPr>
        <w:t xml:space="preserve"> Monitoreo de presiones o integridad de líneas de transporte de energía e hidrocarburos.</w:t>
      </w:r>
    </w:p>
    <w:p w:rsidR="00755AE7" w:rsidRPr="00E207A2" w:rsidRDefault="00755AE7" w:rsidP="00E207A2">
      <w:pPr>
        <w:numPr>
          <w:ilvl w:val="0"/>
          <w:numId w:val="22"/>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Vías de Acceso:</w:t>
      </w:r>
      <w:r w:rsidRPr="00E207A2">
        <w:rPr>
          <w:rFonts w:ascii="Arial" w:eastAsia="Times New Roman" w:hAnsi="Arial" w:cs="Arial"/>
          <w:sz w:val="24"/>
          <w:szCs w:val="24"/>
          <w:lang w:eastAsia="es-ES"/>
        </w:rPr>
        <w:t xml:space="preserve"> Estado de la red vial departamental para asegurar la llegada de organismos de socorro en caso de incidente industrial.</w:t>
      </w:r>
    </w:p>
    <w:p w:rsidR="00755AE7" w:rsidRDefault="00755AE7" w:rsidP="00E207A2">
      <w:pPr>
        <w:numPr>
          <w:ilvl w:val="0"/>
          <w:numId w:val="22"/>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Puntos de Control de Vertimientos:</w:t>
      </w:r>
      <w:r w:rsidRPr="00E207A2">
        <w:rPr>
          <w:rFonts w:ascii="Arial" w:eastAsia="Times New Roman" w:hAnsi="Arial" w:cs="Arial"/>
          <w:sz w:val="24"/>
          <w:szCs w:val="24"/>
          <w:lang w:eastAsia="es-ES"/>
        </w:rPr>
        <w:t xml:space="preserve"> Monitoreo de la calidad del agua aguas abajo de los proyectos para detectar contaminación accidental.</w:t>
      </w:r>
    </w:p>
    <w:p w:rsidR="00710D53" w:rsidRPr="00E207A2" w:rsidRDefault="00710D53" w:rsidP="00710D53">
      <w:pPr>
        <w:spacing w:after="0" w:line="240" w:lineRule="auto"/>
        <w:jc w:val="both"/>
        <w:rPr>
          <w:rFonts w:ascii="Arial" w:eastAsia="Times New Roman" w:hAnsi="Arial" w:cs="Arial"/>
          <w:sz w:val="24"/>
          <w:szCs w:val="24"/>
          <w:lang w:eastAsia="es-ES"/>
        </w:rPr>
      </w:pPr>
    </w:p>
    <w:p w:rsidR="00755AE7" w:rsidRPr="00E207A2" w:rsidRDefault="00755AE7" w:rsidP="00E207A2">
      <w:pPr>
        <w:spacing w:line="240" w:lineRule="auto"/>
        <w:jc w:val="both"/>
        <w:rPr>
          <w:rFonts w:ascii="Arial" w:eastAsia="Times New Roman" w:hAnsi="Arial" w:cs="Arial"/>
          <w:b/>
          <w:bCs/>
          <w:sz w:val="24"/>
          <w:szCs w:val="24"/>
          <w:lang w:eastAsia="es-ES"/>
        </w:rPr>
      </w:pPr>
      <w:r w:rsidRPr="00E207A2">
        <w:rPr>
          <w:rFonts w:ascii="Arial" w:eastAsia="Times New Roman" w:hAnsi="Arial" w:cs="Arial"/>
          <w:b/>
          <w:bCs/>
          <w:sz w:val="24"/>
          <w:szCs w:val="24"/>
          <w:lang w:eastAsia="es-ES"/>
        </w:rPr>
        <w:t>3. Variables Socio-Ambientales (Alertas Tempranas)</w:t>
      </w:r>
    </w:p>
    <w:p w:rsidR="00755AE7" w:rsidRPr="00E207A2" w:rsidRDefault="00755AE7" w:rsidP="00E207A2">
      <w:pPr>
        <w:spacing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Información sobre el entorno social que puede afectar la gestión del riesgo:</w:t>
      </w:r>
    </w:p>
    <w:p w:rsidR="00755AE7" w:rsidRPr="00E207A2" w:rsidRDefault="00755AE7" w:rsidP="00E207A2">
      <w:pPr>
        <w:numPr>
          <w:ilvl w:val="0"/>
          <w:numId w:val="23"/>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Conflictos Territoriales y Protestas:</w:t>
      </w:r>
      <w:r w:rsidRPr="00E207A2">
        <w:rPr>
          <w:rFonts w:ascii="Arial" w:eastAsia="Times New Roman" w:hAnsi="Arial" w:cs="Arial"/>
          <w:sz w:val="24"/>
          <w:szCs w:val="24"/>
          <w:lang w:eastAsia="es-ES"/>
        </w:rPr>
        <w:t xml:space="preserve"> Reportes sobre movilizaciones civiles que puedan bloquear el acceso a zonas críticas de monitoreo.</w:t>
      </w:r>
    </w:p>
    <w:p w:rsidR="00755AE7" w:rsidRPr="00E207A2" w:rsidRDefault="00755AE7" w:rsidP="00E207A2">
      <w:pPr>
        <w:numPr>
          <w:ilvl w:val="0"/>
          <w:numId w:val="23"/>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Asentamientos en Zonas de Influencia:</w:t>
      </w:r>
      <w:r w:rsidRPr="00E207A2">
        <w:rPr>
          <w:rFonts w:ascii="Arial" w:eastAsia="Times New Roman" w:hAnsi="Arial" w:cs="Arial"/>
          <w:sz w:val="24"/>
          <w:szCs w:val="24"/>
          <w:lang w:eastAsia="es-ES"/>
        </w:rPr>
        <w:t xml:space="preserve"> Seguimiento a nuevos asentamientos humanos cerca de proyectos, lo cual aumenta la vulnerabilidad social.</w:t>
      </w:r>
    </w:p>
    <w:p w:rsidR="00710D53" w:rsidRPr="00710D53" w:rsidRDefault="00755AE7" w:rsidP="00A51A21">
      <w:pPr>
        <w:numPr>
          <w:ilvl w:val="0"/>
          <w:numId w:val="23"/>
        </w:numPr>
        <w:spacing w:after="0" w:line="240" w:lineRule="auto"/>
        <w:ind w:left="0"/>
        <w:jc w:val="both"/>
        <w:rPr>
          <w:rFonts w:ascii="Arial" w:eastAsia="Times New Roman" w:hAnsi="Arial" w:cs="Arial"/>
          <w:b/>
          <w:bCs/>
          <w:sz w:val="24"/>
          <w:szCs w:val="24"/>
          <w:lang w:eastAsia="es-ES"/>
        </w:rPr>
      </w:pPr>
      <w:r w:rsidRPr="00710D53">
        <w:rPr>
          <w:rFonts w:ascii="Arial" w:eastAsia="Times New Roman" w:hAnsi="Arial" w:cs="Arial"/>
          <w:b/>
          <w:bCs/>
          <w:sz w:val="24"/>
          <w:szCs w:val="24"/>
          <w:lang w:eastAsia="es-ES"/>
        </w:rPr>
        <w:t>Deforestación:</w:t>
      </w:r>
      <w:r w:rsidRPr="00710D53">
        <w:rPr>
          <w:rFonts w:ascii="Arial" w:eastAsia="Times New Roman" w:hAnsi="Arial" w:cs="Arial"/>
          <w:sz w:val="24"/>
          <w:szCs w:val="24"/>
          <w:lang w:eastAsia="es-ES"/>
        </w:rPr>
        <w:t xml:space="preserve"> Tasa de pérdida de cobertura vegetal en áreas de proyectos, factor identificado en el plan como detonante de avenidas torrenciales.</w:t>
      </w:r>
    </w:p>
    <w:p w:rsidR="00710D53" w:rsidRDefault="00710D53" w:rsidP="00710D53">
      <w:pPr>
        <w:spacing w:after="0" w:line="240" w:lineRule="auto"/>
        <w:jc w:val="both"/>
        <w:rPr>
          <w:rFonts w:ascii="Arial" w:eastAsia="Times New Roman" w:hAnsi="Arial" w:cs="Arial"/>
          <w:b/>
          <w:bCs/>
          <w:sz w:val="24"/>
          <w:szCs w:val="24"/>
          <w:lang w:eastAsia="es-ES"/>
        </w:rPr>
      </w:pPr>
    </w:p>
    <w:p w:rsidR="00755AE7" w:rsidRDefault="00755AE7" w:rsidP="00A51A21">
      <w:pPr>
        <w:numPr>
          <w:ilvl w:val="0"/>
          <w:numId w:val="23"/>
        </w:numPr>
        <w:spacing w:after="0" w:line="240" w:lineRule="auto"/>
        <w:ind w:left="0"/>
        <w:jc w:val="both"/>
        <w:rPr>
          <w:rFonts w:ascii="Arial" w:eastAsia="Times New Roman" w:hAnsi="Arial" w:cs="Arial"/>
          <w:b/>
          <w:bCs/>
          <w:sz w:val="24"/>
          <w:szCs w:val="24"/>
          <w:lang w:eastAsia="es-ES"/>
        </w:rPr>
      </w:pPr>
      <w:r w:rsidRPr="00710D53">
        <w:rPr>
          <w:rFonts w:ascii="Arial" w:eastAsia="Times New Roman" w:hAnsi="Arial" w:cs="Arial"/>
          <w:b/>
          <w:bCs/>
          <w:sz w:val="24"/>
          <w:szCs w:val="24"/>
          <w:lang w:eastAsia="es-ES"/>
        </w:rPr>
        <w:t>4. Variables de Respuesta y Capacidad</w:t>
      </w:r>
    </w:p>
    <w:p w:rsidR="00710D53" w:rsidRPr="00710D53" w:rsidRDefault="00710D53" w:rsidP="00710D53">
      <w:pPr>
        <w:spacing w:after="0" w:line="240" w:lineRule="auto"/>
        <w:jc w:val="both"/>
        <w:rPr>
          <w:rFonts w:ascii="Arial" w:eastAsia="Times New Roman" w:hAnsi="Arial" w:cs="Arial"/>
          <w:b/>
          <w:bCs/>
          <w:sz w:val="24"/>
          <w:szCs w:val="24"/>
          <w:lang w:eastAsia="es-ES"/>
        </w:rPr>
      </w:pPr>
    </w:p>
    <w:p w:rsidR="00755AE7" w:rsidRPr="00E207A2" w:rsidRDefault="00755AE7" w:rsidP="00E207A2">
      <w:pPr>
        <w:numPr>
          <w:ilvl w:val="0"/>
          <w:numId w:val="24"/>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Inventario de Recursos de Emergencia:</w:t>
      </w:r>
      <w:r w:rsidRPr="00E207A2">
        <w:rPr>
          <w:rFonts w:ascii="Arial" w:eastAsia="Times New Roman" w:hAnsi="Arial" w:cs="Arial"/>
          <w:sz w:val="24"/>
          <w:szCs w:val="24"/>
          <w:lang w:eastAsia="es-ES"/>
        </w:rPr>
        <w:t xml:space="preserve"> Disponibilidad de maquinaria amarilla y personal especializado en las zonas de operación minera para concurrir en el manejo de desastres locales.</w:t>
      </w:r>
    </w:p>
    <w:p w:rsidR="00755AE7" w:rsidRDefault="00755AE7" w:rsidP="00882F83">
      <w:pPr>
        <w:numPr>
          <w:ilvl w:val="0"/>
          <w:numId w:val="24"/>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Umbrales de Alerta:</w:t>
      </w:r>
      <w:r w:rsidRPr="00E207A2">
        <w:rPr>
          <w:rFonts w:ascii="Arial" w:eastAsia="Times New Roman" w:hAnsi="Arial" w:cs="Arial"/>
          <w:sz w:val="24"/>
          <w:szCs w:val="24"/>
          <w:lang w:eastAsia="es-ES"/>
        </w:rPr>
        <w:t xml:space="preserve"> Sincronización de los niveles de alarma (Amarilla, Naranja, Roja) entre la empresa, el Ministerio y el departamento.</w:t>
      </w:r>
    </w:p>
    <w:p w:rsidR="00882F83" w:rsidRDefault="00882F83" w:rsidP="00882F83">
      <w:pPr>
        <w:spacing w:after="0" w:line="240" w:lineRule="auto"/>
        <w:jc w:val="both"/>
        <w:rPr>
          <w:rFonts w:ascii="Arial" w:eastAsia="Times New Roman" w:hAnsi="Arial" w:cs="Arial"/>
          <w:b/>
          <w:bCs/>
          <w:sz w:val="24"/>
          <w:szCs w:val="24"/>
          <w:lang w:eastAsia="es-ES"/>
        </w:rPr>
      </w:pPr>
    </w:p>
    <w:p w:rsidR="00882F83" w:rsidRPr="00882F83" w:rsidRDefault="00882F83" w:rsidP="00882F83">
      <w:pPr>
        <w:spacing w:after="0" w:line="240" w:lineRule="auto"/>
        <w:jc w:val="both"/>
        <w:rPr>
          <w:rFonts w:ascii="Arial" w:eastAsia="Times New Roman" w:hAnsi="Arial" w:cs="Arial"/>
          <w:sz w:val="24"/>
          <w:szCs w:val="24"/>
          <w:lang w:eastAsia="es-ES"/>
        </w:rPr>
      </w:pPr>
    </w:p>
    <w:p w:rsidR="0060339E" w:rsidRPr="00882F83" w:rsidRDefault="0060339E" w:rsidP="00882F83">
      <w:pPr>
        <w:jc w:val="center"/>
        <w:rPr>
          <w:rFonts w:ascii="Arial" w:hAnsi="Arial" w:cs="Arial"/>
          <w:b/>
          <w:sz w:val="28"/>
          <w:szCs w:val="28"/>
        </w:rPr>
      </w:pPr>
      <w:r w:rsidRPr="00882F83">
        <w:rPr>
          <w:rFonts w:ascii="Arial" w:hAnsi="Arial" w:cs="Arial"/>
          <w:b/>
          <w:sz w:val="28"/>
          <w:szCs w:val="28"/>
        </w:rPr>
        <w:t>CONCUSIONES:</w:t>
      </w:r>
    </w:p>
    <w:p w:rsidR="00882F83" w:rsidRDefault="00882F83" w:rsidP="00E207A2">
      <w:pPr>
        <w:spacing w:line="240" w:lineRule="auto"/>
        <w:jc w:val="both"/>
        <w:rPr>
          <w:rFonts w:ascii="Arial" w:eastAsia="Times New Roman" w:hAnsi="Arial" w:cs="Arial"/>
          <w:sz w:val="24"/>
          <w:szCs w:val="24"/>
          <w:lang w:eastAsia="es-ES"/>
        </w:rPr>
      </w:pPr>
    </w:p>
    <w:p w:rsidR="00882F83" w:rsidRDefault="00882F83" w:rsidP="00882F83">
      <w:pPr>
        <w:spacing w:line="240" w:lineRule="auto"/>
        <w:jc w:val="both"/>
        <w:rPr>
          <w:rFonts w:ascii="Arial" w:eastAsia="Times New Roman" w:hAnsi="Arial" w:cs="Arial"/>
          <w:sz w:val="24"/>
          <w:szCs w:val="24"/>
          <w:lang w:eastAsia="es-ES"/>
        </w:rPr>
      </w:pPr>
      <w:r>
        <w:rPr>
          <w:rFonts w:ascii="Arial" w:eastAsia="Times New Roman" w:hAnsi="Arial" w:cs="Arial"/>
          <w:sz w:val="24"/>
          <w:szCs w:val="24"/>
          <w:lang w:eastAsia="es-ES"/>
        </w:rPr>
        <w:t>*</w:t>
      </w:r>
      <w:r w:rsidR="0060339E" w:rsidRPr="00E207A2">
        <w:rPr>
          <w:rFonts w:ascii="Arial" w:eastAsia="Times New Roman" w:hAnsi="Arial" w:cs="Arial"/>
          <w:sz w:val="24"/>
          <w:szCs w:val="24"/>
          <w:lang w:eastAsia="es-ES"/>
        </w:rPr>
        <w:t xml:space="preserve">Las conclusiones principales del </w:t>
      </w:r>
      <w:r w:rsidR="0060339E" w:rsidRPr="00E207A2">
        <w:rPr>
          <w:rFonts w:ascii="Arial" w:eastAsia="Times New Roman" w:hAnsi="Arial" w:cs="Arial"/>
          <w:b/>
          <w:bCs/>
          <w:sz w:val="24"/>
          <w:szCs w:val="24"/>
          <w:lang w:eastAsia="es-ES"/>
        </w:rPr>
        <w:t>Plan Departamental de Gestión del Riesgo de Desastres (PDGRD) del Caquetá</w:t>
      </w:r>
      <w:r w:rsidR="0060339E" w:rsidRPr="00E207A2">
        <w:rPr>
          <w:rFonts w:ascii="Arial" w:eastAsia="Times New Roman" w:hAnsi="Arial" w:cs="Arial"/>
          <w:sz w:val="24"/>
          <w:szCs w:val="24"/>
          <w:lang w:eastAsia="es-ES"/>
        </w:rPr>
        <w:t xml:space="preserve"> se centran en la necesidad de transformar la atención de emergencias en una planificación estratégica a largo plazo.</w:t>
      </w:r>
    </w:p>
    <w:p w:rsidR="004345DD" w:rsidRPr="00E207A2" w:rsidRDefault="00882F83" w:rsidP="00882F83">
      <w:pPr>
        <w:spacing w:line="240" w:lineRule="auto"/>
        <w:jc w:val="both"/>
        <w:rPr>
          <w:rFonts w:ascii="Arial" w:eastAsia="Times New Roman" w:hAnsi="Arial" w:cs="Arial"/>
          <w:sz w:val="24"/>
          <w:szCs w:val="24"/>
          <w:lang w:eastAsia="es-ES"/>
        </w:rPr>
      </w:pPr>
      <w:r>
        <w:rPr>
          <w:rFonts w:ascii="Arial" w:eastAsia="Times New Roman" w:hAnsi="Arial" w:cs="Arial"/>
          <w:sz w:val="24"/>
          <w:szCs w:val="24"/>
          <w:lang w:eastAsia="es-ES"/>
        </w:rPr>
        <w:t>*</w:t>
      </w:r>
      <w:r w:rsidR="005B017F" w:rsidRPr="00E207A2">
        <w:rPr>
          <w:rFonts w:ascii="Arial" w:eastAsia="Times New Roman" w:hAnsi="Arial" w:cs="Arial"/>
          <w:sz w:val="24"/>
          <w:szCs w:val="24"/>
          <w:lang w:eastAsia="es-ES"/>
        </w:rPr>
        <w:t xml:space="preserve">El gobierno departamental en socio con las administraciones municipales, entidades territoriales y el gobierno nacional, deben emprender un plan de acción que busquen encontrar unas iniciativas de desarrollo de manera que los programas, políticas y proyectos estén adaptados y diseñados particularmente </w:t>
      </w:r>
      <w:r w:rsidR="005B017F" w:rsidRPr="00E207A2">
        <w:rPr>
          <w:rFonts w:ascii="Arial" w:eastAsia="Times New Roman" w:hAnsi="Arial" w:cs="Arial"/>
          <w:sz w:val="24"/>
          <w:szCs w:val="24"/>
          <w:lang w:eastAsia="es-ES"/>
        </w:rPr>
        <w:lastRenderedPageBreak/>
        <w:t>con las características propias de cada uno de los municipios, con políticas de planeación participativa como base fundamental del diseño de cada estrategia.</w:t>
      </w:r>
    </w:p>
    <w:p w:rsidR="00085638" w:rsidRDefault="00085638" w:rsidP="00085638">
      <w:pPr>
        <w:spacing w:after="0" w:line="240" w:lineRule="auto"/>
        <w:jc w:val="both"/>
        <w:rPr>
          <w:rFonts w:ascii="Arial" w:eastAsia="Times New Roman" w:hAnsi="Arial" w:cs="Arial"/>
          <w:sz w:val="24"/>
          <w:szCs w:val="24"/>
          <w:lang w:eastAsia="es-ES"/>
        </w:rPr>
      </w:pPr>
      <w:r>
        <w:rPr>
          <w:rFonts w:ascii="Arial" w:eastAsia="Times New Roman" w:hAnsi="Arial" w:cs="Arial"/>
          <w:sz w:val="24"/>
          <w:szCs w:val="24"/>
          <w:lang w:eastAsia="es-ES"/>
        </w:rPr>
        <w:t>*</w:t>
      </w:r>
      <w:r w:rsidR="004345DD" w:rsidRPr="00E207A2">
        <w:rPr>
          <w:rFonts w:ascii="Arial" w:eastAsia="Times New Roman" w:hAnsi="Arial" w:cs="Arial"/>
          <w:sz w:val="24"/>
          <w:szCs w:val="24"/>
          <w:lang w:eastAsia="es-ES"/>
        </w:rPr>
        <w:t>La UNGRD en el año 2017, puntualiza al Plan de Gestión del Riesgo de desastres se define como “el instrumento que define los objetivos, programas, acciones, responsables y presupuestos, mediante las cuales se ejecutan los procesos de conocimiento del riesgo, reducción del riesgo y de manejo de desastres, en el marco de la planificación del desarrollo”.</w:t>
      </w:r>
    </w:p>
    <w:p w:rsidR="00085638" w:rsidRPr="00E207A2" w:rsidRDefault="00085638" w:rsidP="00085638">
      <w:pPr>
        <w:spacing w:before="480" w:after="480" w:line="240" w:lineRule="auto"/>
        <w:jc w:val="both"/>
        <w:rPr>
          <w:rFonts w:ascii="Arial" w:eastAsia="Times New Roman" w:hAnsi="Arial" w:cs="Arial"/>
          <w:sz w:val="24"/>
          <w:szCs w:val="24"/>
          <w:lang w:eastAsia="es-ES"/>
        </w:rPr>
      </w:pPr>
      <w:r>
        <w:rPr>
          <w:rFonts w:ascii="Arial" w:eastAsia="Times New Roman" w:hAnsi="Arial" w:cs="Arial"/>
          <w:sz w:val="24"/>
          <w:szCs w:val="24"/>
          <w:lang w:eastAsia="es-ES"/>
        </w:rPr>
        <w:t>*</w:t>
      </w:r>
      <w:r w:rsidR="009944C3" w:rsidRPr="00E207A2">
        <w:rPr>
          <w:rFonts w:ascii="Arial" w:eastAsia="Times New Roman" w:hAnsi="Arial" w:cs="Arial"/>
          <w:sz w:val="24"/>
          <w:szCs w:val="24"/>
          <w:lang w:eastAsia="es-ES"/>
        </w:rPr>
        <w:t>Hay deficiencia en el conocimiento.</w:t>
      </w:r>
      <w:r w:rsidR="00962DF4" w:rsidRPr="00E207A2">
        <w:rPr>
          <w:rFonts w:ascii="Arial" w:eastAsia="Times New Roman" w:hAnsi="Arial" w:cs="Arial"/>
          <w:sz w:val="24"/>
          <w:szCs w:val="24"/>
          <w:lang w:eastAsia="es-ES"/>
        </w:rPr>
        <w:t xml:space="preserve"> Poca información </w:t>
      </w:r>
      <w:r w:rsidR="00801421" w:rsidRPr="00E207A2">
        <w:rPr>
          <w:rFonts w:ascii="Arial" w:eastAsia="Times New Roman" w:hAnsi="Arial" w:cs="Arial"/>
          <w:sz w:val="24"/>
          <w:szCs w:val="24"/>
          <w:lang w:eastAsia="es-ES"/>
        </w:rPr>
        <w:t xml:space="preserve">sistematizada </w:t>
      </w:r>
      <w:r w:rsidR="00962DF4" w:rsidRPr="00E207A2">
        <w:rPr>
          <w:rFonts w:ascii="Arial" w:eastAsia="Times New Roman" w:hAnsi="Arial" w:cs="Arial"/>
          <w:sz w:val="24"/>
          <w:szCs w:val="24"/>
          <w:lang w:eastAsia="es-ES"/>
        </w:rPr>
        <w:t>y la que hay está generalizada.</w:t>
      </w:r>
      <w:r w:rsidR="00801421" w:rsidRPr="00E207A2">
        <w:rPr>
          <w:rFonts w:ascii="Arial" w:eastAsia="Times New Roman" w:hAnsi="Arial" w:cs="Arial"/>
          <w:sz w:val="24"/>
          <w:szCs w:val="24"/>
          <w:lang w:eastAsia="es-ES"/>
        </w:rPr>
        <w:t xml:space="preserve"> Baja</w:t>
      </w:r>
      <w:r>
        <w:rPr>
          <w:rFonts w:ascii="Arial" w:eastAsia="Times New Roman" w:hAnsi="Arial" w:cs="Arial"/>
          <w:sz w:val="24"/>
          <w:szCs w:val="24"/>
          <w:lang w:eastAsia="es-ES"/>
        </w:rPr>
        <w:t xml:space="preserve"> recopilación de la información, ni tecnológicos.</w:t>
      </w:r>
    </w:p>
    <w:p w:rsidR="004D0E67" w:rsidRDefault="00085638" w:rsidP="00085638">
      <w:pPr>
        <w:spacing w:after="0" w:line="240" w:lineRule="auto"/>
        <w:jc w:val="both"/>
        <w:rPr>
          <w:rFonts w:ascii="Arial" w:eastAsia="Times New Roman" w:hAnsi="Arial" w:cs="Arial"/>
          <w:sz w:val="24"/>
          <w:szCs w:val="24"/>
          <w:lang w:eastAsia="es-ES"/>
        </w:rPr>
      </w:pPr>
      <w:r>
        <w:rPr>
          <w:rFonts w:ascii="Arial" w:eastAsia="Times New Roman" w:hAnsi="Arial" w:cs="Arial"/>
          <w:sz w:val="24"/>
          <w:szCs w:val="24"/>
          <w:lang w:eastAsia="es-ES"/>
        </w:rPr>
        <w:t>*</w:t>
      </w:r>
      <w:r w:rsidR="004D0E67" w:rsidRPr="00E207A2">
        <w:rPr>
          <w:rFonts w:ascii="Arial" w:eastAsia="Times New Roman" w:hAnsi="Arial" w:cs="Arial"/>
          <w:sz w:val="24"/>
          <w:szCs w:val="24"/>
          <w:lang w:eastAsia="es-ES"/>
        </w:rPr>
        <w:t>Integración de la gestión del riesgo de desastres en los procesos de planificación en el Departamento. La formulación de cualquier instrumento de planificación territorial (EOT, PBOT y POT) se defina tener en cuenta las amenazas presentes y la magnitud de las mismas, buscando en todo momento promover la “localización segura” como un determinante en el desarrollo territorial.</w:t>
      </w:r>
    </w:p>
    <w:p w:rsidR="00085638" w:rsidRPr="00E207A2" w:rsidRDefault="00085638" w:rsidP="00085638">
      <w:pPr>
        <w:spacing w:after="0" w:line="240" w:lineRule="auto"/>
        <w:jc w:val="both"/>
        <w:rPr>
          <w:rFonts w:ascii="Arial" w:eastAsia="Times New Roman" w:hAnsi="Arial" w:cs="Arial"/>
          <w:sz w:val="24"/>
          <w:szCs w:val="24"/>
          <w:lang w:eastAsia="es-ES"/>
        </w:rPr>
      </w:pPr>
    </w:p>
    <w:p w:rsidR="00245C2E" w:rsidRDefault="00085638" w:rsidP="00085638">
      <w:pPr>
        <w:spacing w:after="0" w:line="240" w:lineRule="auto"/>
        <w:jc w:val="both"/>
        <w:rPr>
          <w:rFonts w:ascii="Arial" w:eastAsia="Times New Roman" w:hAnsi="Arial" w:cs="Arial"/>
          <w:sz w:val="24"/>
          <w:szCs w:val="24"/>
          <w:lang w:eastAsia="es-ES"/>
        </w:rPr>
      </w:pPr>
      <w:r>
        <w:rPr>
          <w:rFonts w:ascii="Arial" w:eastAsia="Times New Roman" w:hAnsi="Arial" w:cs="Arial"/>
          <w:sz w:val="24"/>
          <w:szCs w:val="24"/>
          <w:lang w:eastAsia="es-ES"/>
        </w:rPr>
        <w:t>*R</w:t>
      </w:r>
      <w:r w:rsidR="00245C2E" w:rsidRPr="00E207A2">
        <w:rPr>
          <w:rFonts w:ascii="Arial" w:eastAsia="Times New Roman" w:hAnsi="Arial" w:cs="Arial"/>
          <w:sz w:val="24"/>
          <w:szCs w:val="24"/>
          <w:lang w:eastAsia="es-ES"/>
        </w:rPr>
        <w:t>econocer tanto los factores ambientales necesari</w:t>
      </w:r>
      <w:r w:rsidR="00F43917" w:rsidRPr="00E207A2">
        <w:rPr>
          <w:rFonts w:ascii="Arial" w:eastAsia="Times New Roman" w:hAnsi="Arial" w:cs="Arial"/>
          <w:sz w:val="24"/>
          <w:szCs w:val="24"/>
          <w:lang w:eastAsia="es-ES"/>
        </w:rPr>
        <w:t>os para un desarrollo c</w:t>
      </w:r>
      <w:r w:rsidR="00245C2E" w:rsidRPr="00E207A2">
        <w:rPr>
          <w:rFonts w:ascii="Arial" w:eastAsia="Times New Roman" w:hAnsi="Arial" w:cs="Arial"/>
          <w:sz w:val="24"/>
          <w:szCs w:val="24"/>
          <w:lang w:eastAsia="es-ES"/>
        </w:rPr>
        <w:t xml:space="preserve">on sostenibilidad en el largo plazo, como la vocación de </w:t>
      </w:r>
      <w:r w:rsidR="00F43917" w:rsidRPr="00E207A2">
        <w:rPr>
          <w:rFonts w:ascii="Arial" w:eastAsia="Times New Roman" w:hAnsi="Arial" w:cs="Arial"/>
          <w:sz w:val="24"/>
          <w:szCs w:val="24"/>
          <w:lang w:eastAsia="es-ES"/>
        </w:rPr>
        <w:t xml:space="preserve">uso de sus suelos y la vocación </w:t>
      </w:r>
      <w:r w:rsidR="00245C2E" w:rsidRPr="00E207A2">
        <w:rPr>
          <w:rFonts w:ascii="Arial" w:eastAsia="Times New Roman" w:hAnsi="Arial" w:cs="Arial"/>
          <w:sz w:val="24"/>
          <w:szCs w:val="24"/>
          <w:lang w:eastAsia="es-ES"/>
        </w:rPr>
        <w:t>productiva de su población.</w:t>
      </w:r>
    </w:p>
    <w:p w:rsidR="00085638" w:rsidRPr="00E207A2" w:rsidRDefault="00085638" w:rsidP="00085638">
      <w:pPr>
        <w:spacing w:after="0" w:line="240" w:lineRule="auto"/>
        <w:jc w:val="both"/>
        <w:rPr>
          <w:rFonts w:ascii="Arial" w:eastAsia="Times New Roman" w:hAnsi="Arial" w:cs="Arial"/>
          <w:sz w:val="24"/>
          <w:szCs w:val="24"/>
          <w:lang w:eastAsia="es-ES"/>
        </w:rPr>
      </w:pPr>
    </w:p>
    <w:p w:rsidR="00F43917" w:rsidRPr="00E207A2" w:rsidRDefault="00085638" w:rsidP="00085638">
      <w:pPr>
        <w:spacing w:after="0" w:line="240" w:lineRule="auto"/>
        <w:jc w:val="both"/>
        <w:rPr>
          <w:rFonts w:ascii="Arial" w:eastAsia="Times New Roman" w:hAnsi="Arial" w:cs="Arial"/>
          <w:sz w:val="24"/>
          <w:szCs w:val="24"/>
          <w:lang w:eastAsia="es-ES"/>
        </w:rPr>
      </w:pPr>
      <w:r>
        <w:rPr>
          <w:rFonts w:ascii="Arial" w:eastAsia="Times New Roman" w:hAnsi="Arial" w:cs="Arial"/>
          <w:sz w:val="24"/>
          <w:szCs w:val="24"/>
          <w:lang w:eastAsia="es-ES"/>
        </w:rPr>
        <w:t>*</w:t>
      </w:r>
      <w:r w:rsidR="00F43917" w:rsidRPr="00E207A2">
        <w:rPr>
          <w:rFonts w:ascii="Arial" w:eastAsia="Times New Roman" w:hAnsi="Arial" w:cs="Arial"/>
          <w:sz w:val="24"/>
          <w:szCs w:val="24"/>
          <w:lang w:eastAsia="es-ES"/>
        </w:rPr>
        <w:t>El PDGR se enfoca en 3 momentos: CONOCIMIENTO, REDUCCIÓN Y MANEJO</w:t>
      </w:r>
      <w:r w:rsidR="004639FD">
        <w:rPr>
          <w:rFonts w:ascii="Arial" w:eastAsia="Times New Roman" w:hAnsi="Arial" w:cs="Arial"/>
          <w:sz w:val="24"/>
          <w:szCs w:val="24"/>
          <w:lang w:eastAsia="es-ES"/>
        </w:rPr>
        <w:t xml:space="preserve"> </w:t>
      </w:r>
      <w:r w:rsidR="006B604F" w:rsidRPr="00E207A2">
        <w:rPr>
          <w:rFonts w:ascii="Arial" w:eastAsia="Times New Roman" w:hAnsi="Arial" w:cs="Arial"/>
          <w:sz w:val="24"/>
          <w:szCs w:val="24"/>
          <w:lang w:eastAsia="es-ES"/>
        </w:rPr>
        <w:t>del riesgo.</w:t>
      </w:r>
    </w:p>
    <w:p w:rsidR="00085638" w:rsidRPr="00085638" w:rsidRDefault="00085638" w:rsidP="00085638">
      <w:pPr>
        <w:spacing w:before="480" w:after="0" w:line="240" w:lineRule="auto"/>
        <w:jc w:val="both"/>
        <w:rPr>
          <w:rFonts w:ascii="Arial" w:eastAsia="Times New Roman" w:hAnsi="Arial" w:cs="Arial"/>
          <w:sz w:val="24"/>
          <w:szCs w:val="24"/>
          <w:lang w:eastAsia="es-ES"/>
        </w:rPr>
      </w:pPr>
      <w:r>
        <w:rPr>
          <w:rFonts w:ascii="Arial" w:eastAsia="Times New Roman" w:hAnsi="Arial" w:cs="Arial"/>
          <w:sz w:val="24"/>
          <w:szCs w:val="24"/>
          <w:lang w:eastAsia="es-ES"/>
        </w:rPr>
        <w:t>*</w:t>
      </w:r>
      <w:r w:rsidR="006B604F" w:rsidRPr="00E207A2">
        <w:rPr>
          <w:rFonts w:ascii="Arial" w:eastAsia="Times New Roman" w:hAnsi="Arial" w:cs="Arial"/>
          <w:sz w:val="24"/>
          <w:szCs w:val="24"/>
          <w:lang w:eastAsia="es-ES"/>
        </w:rPr>
        <w:t xml:space="preserve">El PDGR ve el tema minero energético desde el punto de vista de la explotación de hidrocarburos y de construcción de represas, y no de la explotación de la minería de oro, </w:t>
      </w:r>
      <w:proofErr w:type="spellStart"/>
      <w:r w:rsidR="006B604F" w:rsidRPr="00E207A2">
        <w:rPr>
          <w:rFonts w:ascii="Arial" w:eastAsia="Times New Roman" w:hAnsi="Arial" w:cs="Arial"/>
          <w:sz w:val="24"/>
          <w:szCs w:val="24"/>
          <w:lang w:eastAsia="es-ES"/>
        </w:rPr>
        <w:t>asfaltita</w:t>
      </w:r>
      <w:proofErr w:type="spellEnd"/>
      <w:r w:rsidR="006B604F" w:rsidRPr="00E207A2">
        <w:rPr>
          <w:rFonts w:ascii="Arial" w:eastAsia="Times New Roman" w:hAnsi="Arial" w:cs="Arial"/>
          <w:sz w:val="24"/>
          <w:szCs w:val="24"/>
          <w:lang w:eastAsia="es-ES"/>
        </w:rPr>
        <w:t>, material de arrastre entre otros.</w:t>
      </w:r>
    </w:p>
    <w:p w:rsidR="0060339E" w:rsidRPr="00E207A2" w:rsidRDefault="0060339E" w:rsidP="00E207A2">
      <w:pPr>
        <w:spacing w:before="480" w:after="480" w:line="240" w:lineRule="auto"/>
        <w:jc w:val="both"/>
        <w:rPr>
          <w:rFonts w:ascii="Arial" w:eastAsia="Times New Roman" w:hAnsi="Arial" w:cs="Arial"/>
          <w:b/>
          <w:bCs/>
          <w:sz w:val="24"/>
          <w:szCs w:val="24"/>
          <w:lang w:eastAsia="es-ES"/>
        </w:rPr>
      </w:pPr>
      <w:r w:rsidRPr="00E207A2">
        <w:rPr>
          <w:rFonts w:ascii="Arial" w:eastAsia="Times New Roman" w:hAnsi="Arial" w:cs="Arial"/>
          <w:b/>
          <w:bCs/>
          <w:sz w:val="24"/>
          <w:szCs w:val="24"/>
          <w:lang w:eastAsia="es-ES"/>
        </w:rPr>
        <w:t>1. Cambio de Paradigma: El Riesgo es Social</w:t>
      </w:r>
    </w:p>
    <w:p w:rsidR="0060339E" w:rsidRPr="00E207A2" w:rsidRDefault="0060339E" w:rsidP="00E207A2">
      <w:pPr>
        <w:spacing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 xml:space="preserve">El documento concluye que el riesgo en el departamento no es un evento fortuito de la naturaleza, sino una </w:t>
      </w:r>
      <w:r w:rsidRPr="00E207A2">
        <w:rPr>
          <w:rFonts w:ascii="Arial" w:eastAsia="Times New Roman" w:hAnsi="Arial" w:cs="Arial"/>
          <w:b/>
          <w:bCs/>
          <w:sz w:val="24"/>
          <w:szCs w:val="24"/>
          <w:lang w:eastAsia="es-ES"/>
        </w:rPr>
        <w:t>construcción social</w:t>
      </w:r>
      <w:r w:rsidRPr="00E207A2">
        <w:rPr>
          <w:rFonts w:ascii="Arial" w:eastAsia="Times New Roman" w:hAnsi="Arial" w:cs="Arial"/>
          <w:sz w:val="24"/>
          <w:szCs w:val="24"/>
          <w:lang w:eastAsia="es-ES"/>
        </w:rPr>
        <w:t xml:space="preserve">. El modelo de desarrollo histórico, basado en una colonización desordenada, ha ubicado a la población en zonas de alta vulnerabilidad. Por lo tanto, la solución no es solo técnica, sino de </w:t>
      </w:r>
      <w:r w:rsidRPr="00E207A2">
        <w:rPr>
          <w:rFonts w:ascii="Arial" w:eastAsia="Times New Roman" w:hAnsi="Arial" w:cs="Arial"/>
          <w:b/>
          <w:bCs/>
          <w:sz w:val="24"/>
          <w:szCs w:val="24"/>
          <w:lang w:eastAsia="es-ES"/>
        </w:rPr>
        <w:t>ordenamiento territorial</w:t>
      </w:r>
      <w:r w:rsidRPr="00E207A2">
        <w:rPr>
          <w:rFonts w:ascii="Arial" w:eastAsia="Times New Roman" w:hAnsi="Arial" w:cs="Arial"/>
          <w:sz w:val="24"/>
          <w:szCs w:val="24"/>
          <w:lang w:eastAsia="es-ES"/>
        </w:rPr>
        <w:t>.</w:t>
      </w:r>
    </w:p>
    <w:p w:rsidR="0060339E" w:rsidRPr="00E207A2" w:rsidRDefault="0060339E" w:rsidP="00E207A2">
      <w:pPr>
        <w:spacing w:line="240" w:lineRule="auto"/>
        <w:jc w:val="both"/>
        <w:rPr>
          <w:rFonts w:ascii="Arial" w:eastAsia="Times New Roman" w:hAnsi="Arial" w:cs="Arial"/>
          <w:b/>
          <w:bCs/>
          <w:sz w:val="24"/>
          <w:szCs w:val="24"/>
          <w:lang w:eastAsia="es-ES"/>
        </w:rPr>
      </w:pPr>
      <w:r w:rsidRPr="00E207A2">
        <w:rPr>
          <w:rFonts w:ascii="Arial" w:eastAsia="Times New Roman" w:hAnsi="Arial" w:cs="Arial"/>
          <w:b/>
          <w:bCs/>
          <w:sz w:val="24"/>
          <w:szCs w:val="24"/>
          <w:lang w:eastAsia="es-ES"/>
        </w:rPr>
        <w:t>2. El Posconflicto como Reto Estratégico</w:t>
      </w:r>
    </w:p>
    <w:p w:rsidR="0060339E" w:rsidRPr="00E207A2" w:rsidRDefault="0060339E" w:rsidP="00E207A2">
      <w:pPr>
        <w:spacing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 xml:space="preserve">Una conclusión clave es que la terminación del conflicto armado genera </w:t>
      </w:r>
      <w:r w:rsidRPr="00E207A2">
        <w:rPr>
          <w:rFonts w:ascii="Arial" w:eastAsia="Times New Roman" w:hAnsi="Arial" w:cs="Arial"/>
          <w:b/>
          <w:bCs/>
          <w:sz w:val="24"/>
          <w:szCs w:val="24"/>
          <w:lang w:eastAsia="es-ES"/>
        </w:rPr>
        <w:t>nuevas dinámicas territoriales</w:t>
      </w:r>
      <w:r w:rsidRPr="00E207A2">
        <w:rPr>
          <w:rFonts w:ascii="Arial" w:eastAsia="Times New Roman" w:hAnsi="Arial" w:cs="Arial"/>
          <w:sz w:val="24"/>
          <w:szCs w:val="24"/>
          <w:lang w:eastAsia="es-ES"/>
        </w:rPr>
        <w:t>. La apertura de zonas antes aisladas para proyectos minero-energéticos y nuevos asentamientos humanos creará escenarios de riesgo inéditos que requieren un monitoreo preventivo para evitar que el desarrollo sea "lesivo para la naturaleza".</w:t>
      </w:r>
    </w:p>
    <w:p w:rsidR="0060339E" w:rsidRPr="00E207A2" w:rsidRDefault="0060339E" w:rsidP="00E207A2">
      <w:pPr>
        <w:spacing w:line="240" w:lineRule="auto"/>
        <w:jc w:val="both"/>
        <w:rPr>
          <w:rFonts w:ascii="Arial" w:eastAsia="Times New Roman" w:hAnsi="Arial" w:cs="Arial"/>
          <w:b/>
          <w:bCs/>
          <w:sz w:val="24"/>
          <w:szCs w:val="24"/>
          <w:lang w:eastAsia="es-ES"/>
        </w:rPr>
      </w:pPr>
      <w:r w:rsidRPr="00E207A2">
        <w:rPr>
          <w:rFonts w:ascii="Arial" w:eastAsia="Times New Roman" w:hAnsi="Arial" w:cs="Arial"/>
          <w:b/>
          <w:bCs/>
          <w:sz w:val="24"/>
          <w:szCs w:val="24"/>
          <w:lang w:eastAsia="es-ES"/>
        </w:rPr>
        <w:t>3. La Deforestación como Detonante Crítico</w:t>
      </w:r>
    </w:p>
    <w:p w:rsidR="0060339E" w:rsidRPr="00E207A2" w:rsidRDefault="0060339E" w:rsidP="00E207A2">
      <w:pPr>
        <w:spacing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lastRenderedPageBreak/>
        <w:t xml:space="preserve">El plan identifica que la </w:t>
      </w:r>
      <w:r w:rsidRPr="00E207A2">
        <w:rPr>
          <w:rFonts w:ascii="Arial" w:eastAsia="Times New Roman" w:hAnsi="Arial" w:cs="Arial"/>
          <w:b/>
          <w:bCs/>
          <w:sz w:val="24"/>
          <w:szCs w:val="24"/>
          <w:lang w:eastAsia="es-ES"/>
        </w:rPr>
        <w:t>pérdida de cobertura vegetal</w:t>
      </w:r>
      <w:r w:rsidRPr="00E207A2">
        <w:rPr>
          <w:rFonts w:ascii="Arial" w:eastAsia="Times New Roman" w:hAnsi="Arial" w:cs="Arial"/>
          <w:sz w:val="24"/>
          <w:szCs w:val="24"/>
          <w:lang w:eastAsia="es-ES"/>
        </w:rPr>
        <w:t xml:space="preserve"> (deforestación) es el factor ambiental que más acelera las amenazas de avenidas torrenciales e inundaciones. Se concluye que sin una política agresiva de conservación de ecosistemas y manejo de cuencas (POMCA), las obras físicas de mitigación serán insuficientes.</w:t>
      </w:r>
    </w:p>
    <w:p w:rsidR="0060339E" w:rsidRPr="00E207A2" w:rsidRDefault="0060339E" w:rsidP="00E207A2">
      <w:pPr>
        <w:spacing w:line="240" w:lineRule="auto"/>
        <w:jc w:val="both"/>
        <w:rPr>
          <w:rFonts w:ascii="Arial" w:eastAsia="Times New Roman" w:hAnsi="Arial" w:cs="Arial"/>
          <w:b/>
          <w:bCs/>
          <w:sz w:val="24"/>
          <w:szCs w:val="24"/>
          <w:lang w:eastAsia="es-ES"/>
        </w:rPr>
      </w:pPr>
      <w:r w:rsidRPr="00E207A2">
        <w:rPr>
          <w:rFonts w:ascii="Arial" w:eastAsia="Times New Roman" w:hAnsi="Arial" w:cs="Arial"/>
          <w:b/>
          <w:bCs/>
          <w:sz w:val="24"/>
          <w:szCs w:val="24"/>
          <w:lang w:eastAsia="es-ES"/>
        </w:rPr>
        <w:t>4. Fortalecimiento de la Gobernanza</w:t>
      </w:r>
    </w:p>
    <w:p w:rsidR="0060339E" w:rsidRPr="00E207A2" w:rsidRDefault="0060339E" w:rsidP="00E207A2">
      <w:pPr>
        <w:spacing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 xml:space="preserve">Se concluye que la efectividad del sistema depende de la </w:t>
      </w:r>
      <w:r w:rsidRPr="00E207A2">
        <w:rPr>
          <w:rFonts w:ascii="Arial" w:eastAsia="Times New Roman" w:hAnsi="Arial" w:cs="Arial"/>
          <w:b/>
          <w:bCs/>
          <w:sz w:val="24"/>
          <w:szCs w:val="24"/>
          <w:lang w:eastAsia="es-ES"/>
        </w:rPr>
        <w:t>voluntad política</w:t>
      </w:r>
      <w:r w:rsidRPr="00E207A2">
        <w:rPr>
          <w:rFonts w:ascii="Arial" w:eastAsia="Times New Roman" w:hAnsi="Arial" w:cs="Arial"/>
          <w:sz w:val="24"/>
          <w:szCs w:val="24"/>
          <w:lang w:eastAsia="es-ES"/>
        </w:rPr>
        <w:t xml:space="preserve"> y la articulación real entre el nivel nacional (UNGRD), el departamental y los 16 municipios. La gestión del riesgo debe dejar de ser una oficina de "entrega de ayudas" para ser un </w:t>
      </w:r>
      <w:r w:rsidRPr="00E207A2">
        <w:rPr>
          <w:rFonts w:ascii="Arial" w:eastAsia="Times New Roman" w:hAnsi="Arial" w:cs="Arial"/>
          <w:b/>
          <w:bCs/>
          <w:sz w:val="24"/>
          <w:szCs w:val="24"/>
          <w:lang w:eastAsia="es-ES"/>
        </w:rPr>
        <w:t>eje transversal</w:t>
      </w:r>
      <w:r w:rsidRPr="00E207A2">
        <w:rPr>
          <w:rFonts w:ascii="Arial" w:eastAsia="Times New Roman" w:hAnsi="Arial" w:cs="Arial"/>
          <w:sz w:val="24"/>
          <w:szCs w:val="24"/>
          <w:lang w:eastAsia="es-ES"/>
        </w:rPr>
        <w:t xml:space="preserve"> en los planes de desarrollo y de inversión pública.</w:t>
      </w:r>
    </w:p>
    <w:p w:rsidR="0060339E" w:rsidRPr="00E207A2" w:rsidRDefault="0060339E" w:rsidP="00E207A2">
      <w:pPr>
        <w:spacing w:line="240" w:lineRule="auto"/>
        <w:jc w:val="both"/>
        <w:rPr>
          <w:rFonts w:ascii="Arial" w:eastAsia="Times New Roman" w:hAnsi="Arial" w:cs="Arial"/>
          <w:b/>
          <w:bCs/>
          <w:sz w:val="24"/>
          <w:szCs w:val="24"/>
          <w:lang w:eastAsia="es-ES"/>
        </w:rPr>
      </w:pPr>
      <w:r w:rsidRPr="00E207A2">
        <w:rPr>
          <w:rFonts w:ascii="Arial" w:eastAsia="Times New Roman" w:hAnsi="Arial" w:cs="Arial"/>
          <w:b/>
          <w:bCs/>
          <w:sz w:val="24"/>
          <w:szCs w:val="24"/>
          <w:lang w:eastAsia="es-ES"/>
        </w:rPr>
        <w:t>5. Enfoque en el Conocimiento y la Resiliencia</w:t>
      </w:r>
    </w:p>
    <w:p w:rsidR="0060339E" w:rsidRPr="00E207A2" w:rsidRDefault="0060339E" w:rsidP="004639FD">
      <w:pPr>
        <w:spacing w:before="240" w:after="0" w:line="240" w:lineRule="auto"/>
        <w:jc w:val="both"/>
        <w:rPr>
          <w:rFonts w:ascii="Arial" w:eastAsia="Times New Roman" w:hAnsi="Arial" w:cs="Arial"/>
          <w:sz w:val="24"/>
          <w:szCs w:val="24"/>
          <w:lang w:eastAsia="es-ES"/>
        </w:rPr>
      </w:pPr>
      <w:r w:rsidRPr="00E207A2">
        <w:rPr>
          <w:rFonts w:ascii="Arial" w:eastAsia="Times New Roman" w:hAnsi="Arial" w:cs="Arial"/>
          <w:sz w:val="24"/>
          <w:szCs w:val="24"/>
          <w:lang w:eastAsia="es-ES"/>
        </w:rPr>
        <w:t xml:space="preserve">El documento enfatiza que la prioridad debe ser el </w:t>
      </w:r>
      <w:r w:rsidRPr="00E207A2">
        <w:rPr>
          <w:rFonts w:ascii="Arial" w:eastAsia="Times New Roman" w:hAnsi="Arial" w:cs="Arial"/>
          <w:b/>
          <w:bCs/>
          <w:sz w:val="24"/>
          <w:szCs w:val="24"/>
          <w:lang w:eastAsia="es-ES"/>
        </w:rPr>
        <w:t>Conocimiento del Riesgo</w:t>
      </w:r>
      <w:r w:rsidRPr="00E207A2">
        <w:rPr>
          <w:rFonts w:ascii="Arial" w:eastAsia="Times New Roman" w:hAnsi="Arial" w:cs="Arial"/>
          <w:sz w:val="24"/>
          <w:szCs w:val="24"/>
          <w:lang w:eastAsia="es-ES"/>
        </w:rPr>
        <w:t xml:space="preserve">. Solo entendiendo las dimensiones de la amenaza y la vulnerabilidad (especialmente en poblaciones indígenas y rurales) se puede lograr que el Caquetá sea uno de los departamentos más seguros de Colombia, alineándose con estándares globales como el </w:t>
      </w:r>
      <w:r w:rsidRPr="00E207A2">
        <w:rPr>
          <w:rFonts w:ascii="Arial" w:eastAsia="Times New Roman" w:hAnsi="Arial" w:cs="Arial"/>
          <w:b/>
          <w:bCs/>
          <w:sz w:val="24"/>
          <w:szCs w:val="24"/>
          <w:lang w:eastAsia="es-ES"/>
        </w:rPr>
        <w:t>Marco de Sendai</w:t>
      </w:r>
      <w:r w:rsidRPr="00E207A2">
        <w:rPr>
          <w:rFonts w:ascii="Arial" w:eastAsia="Times New Roman" w:hAnsi="Arial" w:cs="Arial"/>
          <w:sz w:val="24"/>
          <w:szCs w:val="24"/>
          <w:lang w:eastAsia="es-ES"/>
        </w:rPr>
        <w:t>.</w:t>
      </w:r>
    </w:p>
    <w:p w:rsidR="00710D53" w:rsidRPr="00710D53" w:rsidRDefault="00710D53" w:rsidP="004639FD">
      <w:pPr>
        <w:spacing w:before="240" w:after="0" w:line="240" w:lineRule="auto"/>
        <w:jc w:val="both"/>
        <w:rPr>
          <w:rFonts w:ascii="Arial" w:eastAsia="Times New Roman" w:hAnsi="Arial" w:cs="Arial"/>
          <w:sz w:val="24"/>
          <w:szCs w:val="24"/>
          <w:lang w:eastAsia="es-ES"/>
        </w:rPr>
      </w:pPr>
      <w:r w:rsidRPr="00710D53">
        <w:rPr>
          <w:rFonts w:ascii="Arial" w:eastAsia="Times New Roman" w:hAnsi="Arial" w:cs="Arial"/>
          <w:sz w:val="24"/>
          <w:szCs w:val="24"/>
          <w:lang w:eastAsia="es-ES"/>
        </w:rPr>
        <w:t>*Las entidades de orden naciona</w:t>
      </w:r>
      <w:r w:rsidR="00085638">
        <w:rPr>
          <w:rFonts w:ascii="Arial" w:eastAsia="Times New Roman" w:hAnsi="Arial" w:cs="Arial"/>
          <w:sz w:val="24"/>
          <w:szCs w:val="24"/>
          <w:lang w:eastAsia="es-ES"/>
        </w:rPr>
        <w:t>l, regional, departamental y muni</w:t>
      </w:r>
      <w:r w:rsidRPr="00710D53">
        <w:rPr>
          <w:rFonts w:ascii="Arial" w:eastAsia="Times New Roman" w:hAnsi="Arial" w:cs="Arial"/>
          <w:sz w:val="24"/>
          <w:szCs w:val="24"/>
          <w:lang w:eastAsia="es-ES"/>
        </w:rPr>
        <w:t>cipal deberán incluir en su presupuesto anual las partidas presupuestales para dar cumplimiento a la Ley 1523 del 2012.</w:t>
      </w:r>
    </w:p>
    <w:p w:rsidR="00710D53" w:rsidRPr="00710D53" w:rsidRDefault="00085638" w:rsidP="004639FD">
      <w:pPr>
        <w:spacing w:before="240" w:after="0" w:line="240" w:lineRule="auto"/>
        <w:jc w:val="both"/>
        <w:rPr>
          <w:rFonts w:ascii="Arial" w:eastAsia="Times New Roman" w:hAnsi="Arial" w:cs="Arial"/>
          <w:sz w:val="24"/>
          <w:szCs w:val="24"/>
          <w:lang w:eastAsia="es-ES"/>
        </w:rPr>
      </w:pPr>
      <w:r>
        <w:rPr>
          <w:rFonts w:ascii="Arial" w:eastAsia="Times New Roman" w:hAnsi="Arial" w:cs="Arial"/>
          <w:sz w:val="24"/>
          <w:szCs w:val="24"/>
          <w:lang w:eastAsia="es-ES"/>
        </w:rPr>
        <w:t>*</w:t>
      </w:r>
      <w:r w:rsidR="00710D53" w:rsidRPr="00710D53">
        <w:rPr>
          <w:rFonts w:ascii="Arial" w:eastAsia="Times New Roman" w:hAnsi="Arial" w:cs="Arial"/>
          <w:sz w:val="24"/>
          <w:szCs w:val="24"/>
          <w:lang w:eastAsia="es-ES"/>
        </w:rPr>
        <w:t>La Gestión del Riesgo es un proceso social y político inherente al proceso de desarrollo.</w:t>
      </w:r>
    </w:p>
    <w:p w:rsidR="00710D53" w:rsidRPr="00710D53" w:rsidRDefault="00085638" w:rsidP="004639FD">
      <w:pPr>
        <w:spacing w:before="240" w:after="0" w:line="240" w:lineRule="auto"/>
        <w:jc w:val="both"/>
        <w:rPr>
          <w:rFonts w:ascii="Arial" w:eastAsia="Times New Roman" w:hAnsi="Arial" w:cs="Arial"/>
          <w:sz w:val="24"/>
          <w:szCs w:val="24"/>
          <w:lang w:eastAsia="es-ES"/>
        </w:rPr>
      </w:pPr>
      <w:r>
        <w:rPr>
          <w:rFonts w:ascii="Arial" w:eastAsia="Times New Roman" w:hAnsi="Arial" w:cs="Arial"/>
          <w:sz w:val="24"/>
          <w:szCs w:val="24"/>
          <w:lang w:eastAsia="es-ES"/>
        </w:rPr>
        <w:t>*</w:t>
      </w:r>
      <w:r w:rsidR="00710D53" w:rsidRPr="00710D53">
        <w:rPr>
          <w:rFonts w:ascii="Arial" w:eastAsia="Times New Roman" w:hAnsi="Arial" w:cs="Arial"/>
          <w:sz w:val="24"/>
          <w:szCs w:val="24"/>
          <w:lang w:eastAsia="es-ES"/>
        </w:rPr>
        <w:t xml:space="preserve">El acceso a los recursos depende de la capacidad de gestión de los mandatarios territoriales y del cumplimiento tanto de los requisitos como de los procedimientos. </w:t>
      </w:r>
    </w:p>
    <w:p w:rsidR="00710D53" w:rsidRPr="00710D53" w:rsidRDefault="00AD60DB" w:rsidP="004639FD">
      <w:pPr>
        <w:spacing w:before="240" w:after="0" w:line="240" w:lineRule="auto"/>
        <w:jc w:val="both"/>
        <w:rPr>
          <w:rFonts w:ascii="Arial" w:eastAsia="Times New Roman" w:hAnsi="Arial" w:cs="Arial"/>
          <w:sz w:val="24"/>
          <w:szCs w:val="24"/>
          <w:lang w:eastAsia="es-ES"/>
        </w:rPr>
      </w:pPr>
      <w:r>
        <w:rPr>
          <w:rFonts w:ascii="Arial" w:eastAsia="Times New Roman" w:hAnsi="Arial" w:cs="Arial"/>
          <w:sz w:val="24"/>
          <w:szCs w:val="24"/>
          <w:lang w:eastAsia="es-ES"/>
        </w:rPr>
        <w:t>*</w:t>
      </w:r>
      <w:r w:rsidR="00710D53" w:rsidRPr="00710D53">
        <w:rPr>
          <w:rFonts w:ascii="Arial" w:eastAsia="Times New Roman" w:hAnsi="Arial" w:cs="Arial"/>
          <w:sz w:val="24"/>
          <w:szCs w:val="24"/>
          <w:lang w:eastAsia="es-ES"/>
        </w:rPr>
        <w:t>Baja capacidad y preparación de la mayoría de las administraciones municipales para realizar una efectiva labor en prevención y atención de desastres.</w:t>
      </w:r>
    </w:p>
    <w:p w:rsidR="00710D53" w:rsidRPr="00710D53" w:rsidRDefault="00AD60DB" w:rsidP="004639FD">
      <w:pPr>
        <w:spacing w:before="240" w:after="0" w:line="240" w:lineRule="auto"/>
        <w:jc w:val="both"/>
        <w:rPr>
          <w:rFonts w:ascii="Arial" w:eastAsia="Times New Roman" w:hAnsi="Arial" w:cs="Arial"/>
          <w:sz w:val="24"/>
          <w:szCs w:val="24"/>
          <w:lang w:eastAsia="es-ES"/>
        </w:rPr>
      </w:pPr>
      <w:r>
        <w:rPr>
          <w:rFonts w:ascii="Arial" w:eastAsia="Times New Roman" w:hAnsi="Arial" w:cs="Arial"/>
          <w:sz w:val="24"/>
          <w:szCs w:val="24"/>
          <w:lang w:eastAsia="es-ES"/>
        </w:rPr>
        <w:t>*</w:t>
      </w:r>
      <w:r w:rsidR="00710D53" w:rsidRPr="00710D53">
        <w:rPr>
          <w:rFonts w:ascii="Arial" w:eastAsia="Times New Roman" w:hAnsi="Arial" w:cs="Arial"/>
          <w:sz w:val="24"/>
          <w:szCs w:val="24"/>
          <w:lang w:eastAsia="es-ES"/>
        </w:rPr>
        <w:t>Para poder tener un PGRD actualizado, se debe tener ac</w:t>
      </w:r>
      <w:r>
        <w:rPr>
          <w:rFonts w:ascii="Arial" w:eastAsia="Times New Roman" w:hAnsi="Arial" w:cs="Arial"/>
          <w:sz w:val="24"/>
          <w:szCs w:val="24"/>
          <w:lang w:eastAsia="es-ES"/>
        </w:rPr>
        <w:t>t</w:t>
      </w:r>
      <w:r w:rsidR="00710D53" w:rsidRPr="00710D53">
        <w:rPr>
          <w:rFonts w:ascii="Arial" w:eastAsia="Times New Roman" w:hAnsi="Arial" w:cs="Arial"/>
          <w:sz w:val="24"/>
          <w:szCs w:val="24"/>
          <w:lang w:eastAsia="es-ES"/>
        </w:rPr>
        <w:t>ualizado el Plan de Desarrollo Departamental y el Plan de Ordenamiento departamental.</w:t>
      </w:r>
    </w:p>
    <w:p w:rsidR="00710D53" w:rsidRPr="00710D53" w:rsidRDefault="00AD60DB" w:rsidP="004639FD">
      <w:pPr>
        <w:spacing w:before="240" w:after="0" w:line="240" w:lineRule="auto"/>
        <w:jc w:val="both"/>
        <w:rPr>
          <w:rFonts w:ascii="Arial" w:eastAsia="Times New Roman" w:hAnsi="Arial" w:cs="Arial"/>
          <w:sz w:val="24"/>
          <w:szCs w:val="24"/>
          <w:lang w:eastAsia="es-ES"/>
        </w:rPr>
      </w:pPr>
      <w:r>
        <w:rPr>
          <w:rFonts w:ascii="Arial" w:eastAsia="Times New Roman" w:hAnsi="Arial" w:cs="Arial"/>
          <w:sz w:val="24"/>
          <w:szCs w:val="24"/>
          <w:lang w:eastAsia="es-ES"/>
        </w:rPr>
        <w:t>*</w:t>
      </w:r>
      <w:r w:rsidR="00710D53" w:rsidRPr="00710D53">
        <w:rPr>
          <w:rFonts w:ascii="Arial" w:eastAsia="Times New Roman" w:hAnsi="Arial" w:cs="Arial"/>
          <w:sz w:val="24"/>
          <w:szCs w:val="24"/>
          <w:lang w:eastAsia="es-ES"/>
        </w:rPr>
        <w:t>El PDGR conoce de manera parcial la existencia de reservas para la explotación productiva. El docu</w:t>
      </w:r>
      <w:r>
        <w:rPr>
          <w:rFonts w:ascii="Arial" w:eastAsia="Times New Roman" w:hAnsi="Arial" w:cs="Arial"/>
          <w:sz w:val="24"/>
          <w:szCs w:val="24"/>
          <w:lang w:eastAsia="es-ES"/>
        </w:rPr>
        <w:t>m</w:t>
      </w:r>
      <w:r w:rsidR="00710D53" w:rsidRPr="00710D53">
        <w:rPr>
          <w:rFonts w:ascii="Arial" w:eastAsia="Times New Roman" w:hAnsi="Arial" w:cs="Arial"/>
          <w:sz w:val="24"/>
          <w:szCs w:val="24"/>
          <w:lang w:eastAsia="es-ES"/>
        </w:rPr>
        <w:t>ento si tiene información clara en el tema d</w:t>
      </w:r>
      <w:r>
        <w:rPr>
          <w:rFonts w:ascii="Arial" w:eastAsia="Times New Roman" w:hAnsi="Arial" w:cs="Arial"/>
          <w:sz w:val="24"/>
          <w:szCs w:val="24"/>
          <w:lang w:eastAsia="es-ES"/>
        </w:rPr>
        <w:t>e las minas de asfalto, y muy</w:t>
      </w:r>
      <w:r w:rsidR="00710D53" w:rsidRPr="00710D53">
        <w:rPr>
          <w:rFonts w:ascii="Arial" w:eastAsia="Times New Roman" w:hAnsi="Arial" w:cs="Arial"/>
          <w:sz w:val="24"/>
          <w:szCs w:val="24"/>
          <w:lang w:eastAsia="es-ES"/>
        </w:rPr>
        <w:t xml:space="preserve"> poca la información de la minería de explotación de material de arrastre, que es utilizado en el campo de la construcción.</w:t>
      </w:r>
    </w:p>
    <w:p w:rsidR="00710D53" w:rsidRPr="00710D53" w:rsidRDefault="004639FD" w:rsidP="004639FD">
      <w:pPr>
        <w:spacing w:before="240" w:after="0" w:line="240" w:lineRule="auto"/>
        <w:jc w:val="both"/>
        <w:rPr>
          <w:rFonts w:ascii="Arial" w:eastAsia="Times New Roman" w:hAnsi="Arial" w:cs="Arial"/>
          <w:sz w:val="24"/>
          <w:szCs w:val="24"/>
          <w:lang w:eastAsia="es-ES"/>
        </w:rPr>
      </w:pPr>
      <w:r>
        <w:rPr>
          <w:rFonts w:ascii="Arial" w:eastAsia="Times New Roman" w:hAnsi="Arial" w:cs="Arial"/>
          <w:sz w:val="24"/>
          <w:szCs w:val="24"/>
          <w:lang w:eastAsia="es-ES"/>
        </w:rPr>
        <w:t>*</w:t>
      </w:r>
      <w:r w:rsidR="00710D53" w:rsidRPr="00710D53">
        <w:rPr>
          <w:rFonts w:ascii="Arial" w:eastAsia="Times New Roman" w:hAnsi="Arial" w:cs="Arial"/>
          <w:sz w:val="24"/>
          <w:szCs w:val="24"/>
          <w:lang w:eastAsia="es-ES"/>
        </w:rPr>
        <w:t>Una com</w:t>
      </w:r>
      <w:r>
        <w:rPr>
          <w:rFonts w:ascii="Arial" w:eastAsia="Times New Roman" w:hAnsi="Arial" w:cs="Arial"/>
          <w:sz w:val="24"/>
          <w:szCs w:val="24"/>
          <w:lang w:eastAsia="es-ES"/>
        </w:rPr>
        <w:t>unidad formal o informal</w:t>
      </w:r>
      <w:r w:rsidR="00710D53" w:rsidRPr="00710D53">
        <w:rPr>
          <w:rFonts w:ascii="Arial" w:eastAsia="Times New Roman" w:hAnsi="Arial" w:cs="Arial"/>
          <w:sz w:val="24"/>
          <w:szCs w:val="24"/>
          <w:lang w:eastAsia="es-ES"/>
        </w:rPr>
        <w:t>mente organizada, tie</w:t>
      </w:r>
      <w:r>
        <w:rPr>
          <w:rFonts w:ascii="Arial" w:eastAsia="Times New Roman" w:hAnsi="Arial" w:cs="Arial"/>
          <w:sz w:val="24"/>
          <w:szCs w:val="24"/>
          <w:lang w:eastAsia="es-ES"/>
        </w:rPr>
        <w:t>ne</w:t>
      </w:r>
      <w:r w:rsidR="00710D53" w:rsidRPr="00710D53">
        <w:rPr>
          <w:rFonts w:ascii="Arial" w:eastAsia="Times New Roman" w:hAnsi="Arial" w:cs="Arial"/>
          <w:sz w:val="24"/>
          <w:szCs w:val="24"/>
          <w:lang w:eastAsia="es-ES"/>
        </w:rPr>
        <w:t xml:space="preserve"> mayor resiliencia ante un desastre, están mayormente preparadas para prevenir y mitigar una amenaza.</w:t>
      </w:r>
    </w:p>
    <w:p w:rsidR="00710D53" w:rsidRPr="00710D53" w:rsidRDefault="004639FD" w:rsidP="004639FD">
      <w:pPr>
        <w:spacing w:before="240" w:after="0" w:line="240" w:lineRule="auto"/>
        <w:jc w:val="both"/>
        <w:rPr>
          <w:rFonts w:ascii="Arial" w:eastAsia="Times New Roman" w:hAnsi="Arial" w:cs="Arial"/>
          <w:sz w:val="24"/>
          <w:szCs w:val="24"/>
          <w:lang w:eastAsia="es-ES"/>
        </w:rPr>
      </w:pPr>
      <w:r>
        <w:rPr>
          <w:rFonts w:ascii="Arial" w:eastAsia="Times New Roman" w:hAnsi="Arial" w:cs="Arial"/>
          <w:sz w:val="24"/>
          <w:szCs w:val="24"/>
          <w:lang w:eastAsia="es-ES"/>
        </w:rPr>
        <w:t>*</w:t>
      </w:r>
      <w:r w:rsidR="00710D53" w:rsidRPr="00710D53">
        <w:rPr>
          <w:rFonts w:ascii="Arial" w:eastAsia="Times New Roman" w:hAnsi="Arial" w:cs="Arial"/>
          <w:sz w:val="24"/>
          <w:szCs w:val="24"/>
          <w:lang w:eastAsia="es-ES"/>
        </w:rPr>
        <w:t xml:space="preserve">Para el año en que fue construido éste documento el tema de la explotación minera en el departamento no era relevante y era de poco conocimiento, tanto de su explotación como la afectación, y menos en el tema del oro, y en cuanto al </w:t>
      </w:r>
      <w:r w:rsidR="00710D53" w:rsidRPr="00710D53">
        <w:rPr>
          <w:rFonts w:ascii="Arial" w:eastAsia="Times New Roman" w:hAnsi="Arial" w:cs="Arial"/>
          <w:sz w:val="24"/>
          <w:szCs w:val="24"/>
          <w:lang w:eastAsia="es-ES"/>
        </w:rPr>
        <w:lastRenderedPageBreak/>
        <w:t>tema de explotación de material de arrastre no dimensionaban el impacto ambiental.</w:t>
      </w:r>
    </w:p>
    <w:p w:rsidR="00710D53" w:rsidRPr="00710D53" w:rsidRDefault="004639FD" w:rsidP="004639FD">
      <w:pPr>
        <w:spacing w:before="240" w:after="0" w:line="240" w:lineRule="auto"/>
        <w:jc w:val="both"/>
        <w:rPr>
          <w:rFonts w:ascii="Arial" w:eastAsia="Times New Roman" w:hAnsi="Arial" w:cs="Arial"/>
          <w:sz w:val="24"/>
          <w:szCs w:val="24"/>
          <w:lang w:eastAsia="es-ES"/>
        </w:rPr>
      </w:pPr>
      <w:r>
        <w:rPr>
          <w:rFonts w:ascii="Arial" w:eastAsia="Times New Roman" w:hAnsi="Arial" w:cs="Arial"/>
          <w:sz w:val="24"/>
          <w:szCs w:val="24"/>
          <w:lang w:eastAsia="es-ES"/>
        </w:rPr>
        <w:t>*</w:t>
      </w:r>
      <w:r w:rsidR="00710D53" w:rsidRPr="00710D53">
        <w:rPr>
          <w:rFonts w:ascii="Arial" w:eastAsia="Times New Roman" w:hAnsi="Arial" w:cs="Arial"/>
          <w:sz w:val="24"/>
          <w:szCs w:val="24"/>
          <w:lang w:eastAsia="es-ES"/>
        </w:rPr>
        <w:t>El PDGRD debe formular acciones orientadas hac</w:t>
      </w:r>
      <w:r>
        <w:rPr>
          <w:rFonts w:ascii="Arial" w:eastAsia="Times New Roman" w:hAnsi="Arial" w:cs="Arial"/>
          <w:sz w:val="24"/>
          <w:szCs w:val="24"/>
          <w:lang w:eastAsia="es-ES"/>
        </w:rPr>
        <w:t xml:space="preserve">ia el enfoque de los siguientes </w:t>
      </w:r>
      <w:r w:rsidR="00710D53" w:rsidRPr="00710D53">
        <w:rPr>
          <w:rFonts w:ascii="Arial" w:eastAsia="Times New Roman" w:hAnsi="Arial" w:cs="Arial"/>
          <w:sz w:val="24"/>
          <w:szCs w:val="24"/>
          <w:lang w:eastAsia="es-ES"/>
        </w:rPr>
        <w:t>procesos: Conocimiento del riesgo, reducción del riesgo y Mane</w:t>
      </w:r>
      <w:r>
        <w:rPr>
          <w:rFonts w:ascii="Arial" w:eastAsia="Times New Roman" w:hAnsi="Arial" w:cs="Arial"/>
          <w:sz w:val="24"/>
          <w:szCs w:val="24"/>
          <w:lang w:eastAsia="es-ES"/>
        </w:rPr>
        <w:t xml:space="preserve">jo de desastres, bajo el </w:t>
      </w:r>
      <w:r w:rsidR="00710D53" w:rsidRPr="00710D53">
        <w:rPr>
          <w:rFonts w:ascii="Arial" w:eastAsia="Times New Roman" w:hAnsi="Arial" w:cs="Arial"/>
          <w:sz w:val="24"/>
          <w:szCs w:val="24"/>
          <w:lang w:eastAsia="es-ES"/>
        </w:rPr>
        <w:t>mismo marco que plantea el PNGRD, siguiendo así los l</w:t>
      </w:r>
      <w:r>
        <w:rPr>
          <w:rFonts w:ascii="Arial" w:eastAsia="Times New Roman" w:hAnsi="Arial" w:cs="Arial"/>
          <w:sz w:val="24"/>
          <w:szCs w:val="24"/>
          <w:lang w:eastAsia="es-ES"/>
        </w:rPr>
        <w:t xml:space="preserve">ineamientos establecidos con el </w:t>
      </w:r>
      <w:r w:rsidR="00710D53" w:rsidRPr="00710D53">
        <w:rPr>
          <w:rFonts w:ascii="Arial" w:eastAsia="Times New Roman" w:hAnsi="Arial" w:cs="Arial"/>
          <w:sz w:val="24"/>
          <w:szCs w:val="24"/>
          <w:lang w:eastAsia="es-ES"/>
        </w:rPr>
        <w:t>propósito de lograr la armonización y puesta en marcha</w:t>
      </w:r>
      <w:r>
        <w:rPr>
          <w:rFonts w:ascii="Arial" w:eastAsia="Times New Roman" w:hAnsi="Arial" w:cs="Arial"/>
          <w:sz w:val="24"/>
          <w:szCs w:val="24"/>
          <w:lang w:eastAsia="es-ES"/>
        </w:rPr>
        <w:t xml:space="preserve"> de las acciones desde el orden </w:t>
      </w:r>
      <w:r w:rsidR="00710D53" w:rsidRPr="00710D53">
        <w:rPr>
          <w:rFonts w:ascii="Arial" w:eastAsia="Times New Roman" w:hAnsi="Arial" w:cs="Arial"/>
          <w:sz w:val="24"/>
          <w:szCs w:val="24"/>
          <w:lang w:eastAsia="es-ES"/>
        </w:rPr>
        <w:t xml:space="preserve">nacional hacia el nivel departamental y municipal.  </w:t>
      </w:r>
    </w:p>
    <w:p w:rsidR="0060339E" w:rsidRPr="00710D53" w:rsidRDefault="004639FD" w:rsidP="004639FD">
      <w:pPr>
        <w:spacing w:before="240" w:after="0" w:line="240" w:lineRule="auto"/>
        <w:jc w:val="both"/>
        <w:rPr>
          <w:rFonts w:ascii="Arial" w:eastAsia="Times New Roman" w:hAnsi="Arial" w:cs="Arial"/>
          <w:sz w:val="24"/>
          <w:szCs w:val="24"/>
          <w:lang w:eastAsia="es-ES"/>
        </w:rPr>
      </w:pPr>
      <w:r>
        <w:rPr>
          <w:rFonts w:ascii="Arial" w:eastAsia="Times New Roman" w:hAnsi="Arial" w:cs="Arial"/>
          <w:sz w:val="24"/>
          <w:szCs w:val="24"/>
          <w:lang w:eastAsia="es-ES"/>
        </w:rPr>
        <w:t>*</w:t>
      </w:r>
      <w:r w:rsidR="00710D53" w:rsidRPr="00710D53">
        <w:rPr>
          <w:rFonts w:ascii="Arial" w:eastAsia="Times New Roman" w:hAnsi="Arial" w:cs="Arial"/>
          <w:sz w:val="24"/>
          <w:szCs w:val="24"/>
          <w:lang w:eastAsia="es-ES"/>
        </w:rPr>
        <w:t>Un Plan Departamental para la Gestión del Riesgo de Desastres debe entenderse como un documento de largo plazo que servirá como instrumento orientador para que los planes de desarrollo, de ordenamien</w:t>
      </w:r>
      <w:r>
        <w:rPr>
          <w:rFonts w:ascii="Arial" w:eastAsia="Times New Roman" w:hAnsi="Arial" w:cs="Arial"/>
          <w:sz w:val="24"/>
          <w:szCs w:val="24"/>
          <w:lang w:eastAsia="es-ES"/>
        </w:rPr>
        <w:t>to territorial, de ordenamiento y</w:t>
      </w:r>
      <w:r w:rsidR="00710D53" w:rsidRPr="00710D53">
        <w:rPr>
          <w:rFonts w:ascii="Arial" w:eastAsia="Times New Roman" w:hAnsi="Arial" w:cs="Arial"/>
          <w:sz w:val="24"/>
          <w:szCs w:val="24"/>
          <w:lang w:eastAsia="es-ES"/>
        </w:rPr>
        <w:t xml:space="preserve"> manejo de cuencas hidrográficas puedan a su vez identificar los escenarios de riesgo y seleccionar las medidas correctivas y prospectivas requeridas en función de la complejidad de dicho</w:t>
      </w:r>
      <w:r w:rsidR="00710D53">
        <w:rPr>
          <w:rFonts w:ascii="Arial" w:eastAsia="Times New Roman" w:hAnsi="Arial" w:cs="Arial"/>
          <w:sz w:val="24"/>
          <w:szCs w:val="24"/>
          <w:lang w:eastAsia="es-ES"/>
        </w:rPr>
        <w:t>s</w:t>
      </w:r>
      <w:r w:rsidR="00710D53" w:rsidRPr="00710D53">
        <w:rPr>
          <w:rFonts w:ascii="Arial" w:eastAsia="Times New Roman" w:hAnsi="Arial" w:cs="Arial"/>
          <w:sz w:val="24"/>
          <w:szCs w:val="24"/>
          <w:lang w:eastAsia="es-ES"/>
        </w:rPr>
        <w:t xml:space="preserve"> escenarios y el entendimiento correcto de la gestió</w:t>
      </w:r>
      <w:r w:rsidR="00710D53">
        <w:rPr>
          <w:rFonts w:ascii="Arial" w:eastAsia="Times New Roman" w:hAnsi="Arial" w:cs="Arial"/>
          <w:sz w:val="24"/>
          <w:szCs w:val="24"/>
          <w:lang w:eastAsia="es-ES"/>
        </w:rPr>
        <w:t xml:space="preserve">n del riesgo como estrategia de </w:t>
      </w:r>
      <w:r w:rsidR="00710D53" w:rsidRPr="00710D53">
        <w:rPr>
          <w:rFonts w:ascii="Arial" w:eastAsia="Times New Roman" w:hAnsi="Arial" w:cs="Arial"/>
          <w:sz w:val="24"/>
          <w:szCs w:val="24"/>
          <w:lang w:eastAsia="es-ES"/>
        </w:rPr>
        <w:t>desarrollo sostenible.</w:t>
      </w:r>
    </w:p>
    <w:p w:rsidR="004639FD" w:rsidRDefault="004639FD" w:rsidP="004639FD">
      <w:pPr>
        <w:jc w:val="center"/>
        <w:rPr>
          <w:rFonts w:ascii="Arial" w:hAnsi="Arial" w:cs="Arial"/>
          <w:b/>
          <w:sz w:val="28"/>
          <w:szCs w:val="28"/>
        </w:rPr>
      </w:pPr>
    </w:p>
    <w:p w:rsidR="0060339E" w:rsidRDefault="0060339E" w:rsidP="004639FD">
      <w:pPr>
        <w:jc w:val="center"/>
        <w:rPr>
          <w:rFonts w:ascii="Arial" w:hAnsi="Arial" w:cs="Arial"/>
          <w:b/>
          <w:sz w:val="28"/>
          <w:szCs w:val="28"/>
        </w:rPr>
      </w:pPr>
      <w:r w:rsidRPr="004639FD">
        <w:rPr>
          <w:rFonts w:ascii="Arial" w:hAnsi="Arial" w:cs="Arial"/>
          <w:b/>
          <w:sz w:val="28"/>
          <w:szCs w:val="28"/>
        </w:rPr>
        <w:t>RECOMENDACIONES:</w:t>
      </w:r>
    </w:p>
    <w:p w:rsidR="004639FD" w:rsidRPr="004639FD" w:rsidRDefault="004639FD" w:rsidP="004639FD">
      <w:pPr>
        <w:jc w:val="center"/>
        <w:rPr>
          <w:rFonts w:ascii="Arial" w:hAnsi="Arial" w:cs="Arial"/>
          <w:b/>
          <w:sz w:val="28"/>
          <w:szCs w:val="28"/>
        </w:rPr>
      </w:pPr>
    </w:p>
    <w:p w:rsidR="0060339E" w:rsidRPr="00E207A2" w:rsidRDefault="0060339E" w:rsidP="00E207A2">
      <w:pPr>
        <w:spacing w:line="240" w:lineRule="auto"/>
        <w:jc w:val="both"/>
        <w:rPr>
          <w:rFonts w:ascii="Arial" w:eastAsia="Times New Roman" w:hAnsi="Arial" w:cs="Arial"/>
          <w:b/>
          <w:bCs/>
          <w:sz w:val="24"/>
          <w:szCs w:val="24"/>
          <w:lang w:eastAsia="es-ES"/>
        </w:rPr>
      </w:pPr>
      <w:r w:rsidRPr="00E207A2">
        <w:rPr>
          <w:rFonts w:ascii="Arial" w:eastAsia="Times New Roman" w:hAnsi="Arial" w:cs="Arial"/>
          <w:b/>
          <w:bCs/>
          <w:sz w:val="24"/>
          <w:szCs w:val="24"/>
          <w:lang w:eastAsia="es-ES"/>
        </w:rPr>
        <w:t>1. Fortalecimiento Institucional y Financiero</w:t>
      </w:r>
    </w:p>
    <w:p w:rsidR="0060339E" w:rsidRPr="00E207A2" w:rsidRDefault="0060339E" w:rsidP="00E207A2">
      <w:pPr>
        <w:numPr>
          <w:ilvl w:val="0"/>
          <w:numId w:val="25"/>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Consolidar el Fondo Departamental:</w:t>
      </w:r>
      <w:r w:rsidRPr="00E207A2">
        <w:rPr>
          <w:rFonts w:ascii="Arial" w:eastAsia="Times New Roman" w:hAnsi="Arial" w:cs="Arial"/>
          <w:sz w:val="24"/>
          <w:szCs w:val="24"/>
          <w:lang w:eastAsia="es-ES"/>
        </w:rPr>
        <w:t xml:space="preserve"> Se recomienda fortalecer presupuestalmente el </w:t>
      </w:r>
      <w:r w:rsidRPr="00E207A2">
        <w:rPr>
          <w:rFonts w:ascii="Arial" w:eastAsia="Times New Roman" w:hAnsi="Arial" w:cs="Arial"/>
          <w:b/>
          <w:bCs/>
          <w:sz w:val="24"/>
          <w:szCs w:val="24"/>
          <w:lang w:eastAsia="es-ES"/>
        </w:rPr>
        <w:t>Fondo Departamental de Gestión del Riesgo</w:t>
      </w:r>
      <w:r w:rsidRPr="00E207A2">
        <w:rPr>
          <w:rFonts w:ascii="Arial" w:eastAsia="Times New Roman" w:hAnsi="Arial" w:cs="Arial"/>
          <w:sz w:val="24"/>
          <w:szCs w:val="24"/>
          <w:lang w:eastAsia="es-ES"/>
        </w:rPr>
        <w:t xml:space="preserve"> para asegurar que existan recursos inmediatos tanto para obras de prevención como para la respuesta a desastres.</w:t>
      </w:r>
    </w:p>
    <w:p w:rsidR="0060339E" w:rsidRDefault="0060339E" w:rsidP="00E207A2">
      <w:pPr>
        <w:numPr>
          <w:ilvl w:val="0"/>
          <w:numId w:val="25"/>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Transversalidad:</w:t>
      </w:r>
      <w:r w:rsidRPr="00E207A2">
        <w:rPr>
          <w:rFonts w:ascii="Arial" w:eastAsia="Times New Roman" w:hAnsi="Arial" w:cs="Arial"/>
          <w:sz w:val="24"/>
          <w:szCs w:val="24"/>
          <w:lang w:eastAsia="es-ES"/>
        </w:rPr>
        <w:t xml:space="preserve"> La gestión del riesgo no debe ser una oficina aislada; se recomienda que cada secretaría (Salud, Educación, Infraestructura) incluya indicadores de gestión de</w:t>
      </w:r>
      <w:r w:rsidR="004639FD">
        <w:rPr>
          <w:rFonts w:ascii="Arial" w:eastAsia="Times New Roman" w:hAnsi="Arial" w:cs="Arial"/>
          <w:sz w:val="24"/>
          <w:szCs w:val="24"/>
          <w:lang w:eastAsia="es-ES"/>
        </w:rPr>
        <w:t xml:space="preserve">l riesgo en sus metas anuales. </w:t>
      </w:r>
    </w:p>
    <w:p w:rsidR="004639FD" w:rsidRPr="00E207A2" w:rsidRDefault="004639FD" w:rsidP="004639FD">
      <w:pPr>
        <w:spacing w:after="0" w:line="240" w:lineRule="auto"/>
        <w:jc w:val="both"/>
        <w:rPr>
          <w:rFonts w:ascii="Arial" w:eastAsia="Times New Roman" w:hAnsi="Arial" w:cs="Arial"/>
          <w:sz w:val="24"/>
          <w:szCs w:val="24"/>
          <w:lang w:eastAsia="es-ES"/>
        </w:rPr>
      </w:pPr>
    </w:p>
    <w:p w:rsidR="0060339E" w:rsidRPr="00E207A2" w:rsidRDefault="0060339E" w:rsidP="00E207A2">
      <w:pPr>
        <w:spacing w:line="240" w:lineRule="auto"/>
        <w:jc w:val="both"/>
        <w:rPr>
          <w:rFonts w:ascii="Arial" w:eastAsia="Times New Roman" w:hAnsi="Arial" w:cs="Arial"/>
          <w:b/>
          <w:bCs/>
          <w:sz w:val="24"/>
          <w:szCs w:val="24"/>
          <w:lang w:eastAsia="es-ES"/>
        </w:rPr>
      </w:pPr>
      <w:r w:rsidRPr="00E207A2">
        <w:rPr>
          <w:rFonts w:ascii="Arial" w:eastAsia="Times New Roman" w:hAnsi="Arial" w:cs="Arial"/>
          <w:b/>
          <w:bCs/>
          <w:sz w:val="24"/>
          <w:szCs w:val="24"/>
          <w:lang w:eastAsia="es-ES"/>
        </w:rPr>
        <w:t>2. Acciones en los Municipios</w:t>
      </w:r>
    </w:p>
    <w:p w:rsidR="0060339E" w:rsidRPr="00E207A2" w:rsidRDefault="0060339E" w:rsidP="00E207A2">
      <w:pPr>
        <w:numPr>
          <w:ilvl w:val="0"/>
          <w:numId w:val="26"/>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Actualización de Planes:</w:t>
      </w:r>
      <w:r w:rsidRPr="00E207A2">
        <w:rPr>
          <w:rFonts w:ascii="Arial" w:eastAsia="Times New Roman" w:hAnsi="Arial" w:cs="Arial"/>
          <w:sz w:val="24"/>
          <w:szCs w:val="24"/>
          <w:lang w:eastAsia="es-ES"/>
        </w:rPr>
        <w:t xml:space="preserve"> Cada uno de los 16 municipios debe actualizar sus </w:t>
      </w:r>
      <w:r w:rsidRPr="00E207A2">
        <w:rPr>
          <w:rFonts w:ascii="Arial" w:eastAsia="Times New Roman" w:hAnsi="Arial" w:cs="Arial"/>
          <w:b/>
          <w:bCs/>
          <w:sz w:val="24"/>
          <w:szCs w:val="24"/>
          <w:lang w:eastAsia="es-ES"/>
        </w:rPr>
        <w:t>Planes Municipales de Gestión del Riesgo (PMGRD)</w:t>
      </w:r>
      <w:r w:rsidRPr="00E207A2">
        <w:rPr>
          <w:rFonts w:ascii="Arial" w:eastAsia="Times New Roman" w:hAnsi="Arial" w:cs="Arial"/>
          <w:sz w:val="24"/>
          <w:szCs w:val="24"/>
          <w:lang w:eastAsia="es-ES"/>
        </w:rPr>
        <w:t xml:space="preserve"> y armonizarlos con las directrices del plan departamental y nacional.</w:t>
      </w:r>
    </w:p>
    <w:p w:rsidR="0060339E" w:rsidRPr="00E207A2" w:rsidRDefault="0060339E" w:rsidP="00E207A2">
      <w:pPr>
        <w:numPr>
          <w:ilvl w:val="0"/>
          <w:numId w:val="26"/>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Monitoreo en Puntos Críticos:</w:t>
      </w:r>
      <w:r w:rsidRPr="00E207A2">
        <w:rPr>
          <w:rFonts w:ascii="Arial" w:eastAsia="Times New Roman" w:hAnsi="Arial" w:cs="Arial"/>
          <w:sz w:val="24"/>
          <w:szCs w:val="24"/>
          <w:lang w:eastAsia="es-ES"/>
        </w:rPr>
        <w:t xml:space="preserve"> Se recomienda vigilancia prioritaria en las cabeceras municipales identificadas con alta amenaza de </w:t>
      </w:r>
      <w:r w:rsidRPr="00E207A2">
        <w:rPr>
          <w:rFonts w:ascii="Arial" w:eastAsia="Times New Roman" w:hAnsi="Arial" w:cs="Arial"/>
          <w:b/>
          <w:bCs/>
          <w:sz w:val="24"/>
          <w:szCs w:val="24"/>
          <w:lang w:eastAsia="es-ES"/>
        </w:rPr>
        <w:t>avenidas torrenciales</w:t>
      </w:r>
      <w:r w:rsidRPr="00E207A2">
        <w:rPr>
          <w:rFonts w:ascii="Arial" w:eastAsia="Times New Roman" w:hAnsi="Arial" w:cs="Arial"/>
          <w:sz w:val="24"/>
          <w:szCs w:val="24"/>
          <w:lang w:eastAsia="es-ES"/>
        </w:rPr>
        <w:t>, tales como:</w:t>
      </w:r>
    </w:p>
    <w:p w:rsidR="0060339E" w:rsidRPr="00E207A2" w:rsidRDefault="0060339E" w:rsidP="00E207A2">
      <w:pPr>
        <w:numPr>
          <w:ilvl w:val="1"/>
          <w:numId w:val="26"/>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San José del Fragua:</w:t>
      </w:r>
      <w:r w:rsidRPr="00E207A2">
        <w:rPr>
          <w:rFonts w:ascii="Arial" w:eastAsia="Times New Roman" w:hAnsi="Arial" w:cs="Arial"/>
          <w:sz w:val="24"/>
          <w:szCs w:val="24"/>
          <w:lang w:eastAsia="es-ES"/>
        </w:rPr>
        <w:t xml:space="preserve"> Río Fragua </w:t>
      </w:r>
      <w:proofErr w:type="spellStart"/>
      <w:r w:rsidRPr="00E207A2">
        <w:rPr>
          <w:rFonts w:ascii="Arial" w:eastAsia="Times New Roman" w:hAnsi="Arial" w:cs="Arial"/>
          <w:sz w:val="24"/>
          <w:szCs w:val="24"/>
          <w:lang w:eastAsia="es-ES"/>
        </w:rPr>
        <w:t>Chorroso</w:t>
      </w:r>
      <w:proofErr w:type="spellEnd"/>
      <w:r w:rsidRPr="00E207A2">
        <w:rPr>
          <w:rFonts w:ascii="Arial" w:eastAsia="Times New Roman" w:hAnsi="Arial" w:cs="Arial"/>
          <w:sz w:val="24"/>
          <w:szCs w:val="24"/>
          <w:lang w:eastAsia="es-ES"/>
        </w:rPr>
        <w:t>.</w:t>
      </w:r>
    </w:p>
    <w:p w:rsidR="0060339E" w:rsidRPr="00E207A2" w:rsidRDefault="0060339E" w:rsidP="00E207A2">
      <w:pPr>
        <w:numPr>
          <w:ilvl w:val="1"/>
          <w:numId w:val="26"/>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Florencia:</w:t>
      </w:r>
      <w:r w:rsidRPr="00E207A2">
        <w:rPr>
          <w:rFonts w:ascii="Arial" w:eastAsia="Times New Roman" w:hAnsi="Arial" w:cs="Arial"/>
          <w:sz w:val="24"/>
          <w:szCs w:val="24"/>
          <w:lang w:eastAsia="es-ES"/>
        </w:rPr>
        <w:t xml:space="preserve"> Quebradas La Yuca y El Dedo.</w:t>
      </w:r>
    </w:p>
    <w:p w:rsidR="0060339E" w:rsidRPr="00E207A2" w:rsidRDefault="0060339E" w:rsidP="00E207A2">
      <w:pPr>
        <w:numPr>
          <w:ilvl w:val="1"/>
          <w:numId w:val="26"/>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El Doncello:</w:t>
      </w:r>
      <w:r w:rsidRPr="00E207A2">
        <w:rPr>
          <w:rFonts w:ascii="Arial" w:eastAsia="Times New Roman" w:hAnsi="Arial" w:cs="Arial"/>
          <w:sz w:val="24"/>
          <w:szCs w:val="24"/>
          <w:lang w:eastAsia="es-ES"/>
        </w:rPr>
        <w:t xml:space="preserve"> Río Doncello.</w:t>
      </w:r>
    </w:p>
    <w:p w:rsidR="0060339E" w:rsidRDefault="0060339E" w:rsidP="00E207A2">
      <w:pPr>
        <w:numPr>
          <w:ilvl w:val="1"/>
          <w:numId w:val="26"/>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Puerto Rico:</w:t>
      </w:r>
      <w:r w:rsidR="004639FD">
        <w:rPr>
          <w:rFonts w:ascii="Arial" w:eastAsia="Times New Roman" w:hAnsi="Arial" w:cs="Arial"/>
          <w:sz w:val="24"/>
          <w:szCs w:val="24"/>
          <w:lang w:eastAsia="es-ES"/>
        </w:rPr>
        <w:t xml:space="preserve"> Quebrada Las Damas. </w:t>
      </w:r>
    </w:p>
    <w:p w:rsidR="004639FD" w:rsidRPr="00E207A2" w:rsidRDefault="004639FD" w:rsidP="004639FD">
      <w:pPr>
        <w:spacing w:after="0" w:line="240" w:lineRule="auto"/>
        <w:jc w:val="both"/>
        <w:rPr>
          <w:rFonts w:ascii="Arial" w:eastAsia="Times New Roman" w:hAnsi="Arial" w:cs="Arial"/>
          <w:sz w:val="24"/>
          <w:szCs w:val="24"/>
          <w:lang w:eastAsia="es-ES"/>
        </w:rPr>
      </w:pPr>
    </w:p>
    <w:p w:rsidR="0060339E" w:rsidRPr="00E207A2" w:rsidRDefault="0060339E" w:rsidP="00E207A2">
      <w:pPr>
        <w:spacing w:line="240" w:lineRule="auto"/>
        <w:jc w:val="both"/>
        <w:rPr>
          <w:rFonts w:ascii="Arial" w:eastAsia="Times New Roman" w:hAnsi="Arial" w:cs="Arial"/>
          <w:b/>
          <w:bCs/>
          <w:sz w:val="24"/>
          <w:szCs w:val="24"/>
          <w:lang w:eastAsia="es-ES"/>
        </w:rPr>
      </w:pPr>
      <w:r w:rsidRPr="00E207A2">
        <w:rPr>
          <w:rFonts w:ascii="Arial" w:eastAsia="Times New Roman" w:hAnsi="Arial" w:cs="Arial"/>
          <w:b/>
          <w:bCs/>
          <w:sz w:val="24"/>
          <w:szCs w:val="24"/>
          <w:lang w:eastAsia="es-ES"/>
        </w:rPr>
        <w:t>3. Ordenamiento Territorial y Ambiental</w:t>
      </w:r>
    </w:p>
    <w:p w:rsidR="0060339E" w:rsidRPr="00E207A2" w:rsidRDefault="0060339E" w:rsidP="00E207A2">
      <w:pPr>
        <w:numPr>
          <w:ilvl w:val="0"/>
          <w:numId w:val="27"/>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Determinante Ambiental:</w:t>
      </w:r>
      <w:r w:rsidRPr="00E207A2">
        <w:rPr>
          <w:rFonts w:ascii="Arial" w:eastAsia="Times New Roman" w:hAnsi="Arial" w:cs="Arial"/>
          <w:sz w:val="24"/>
          <w:szCs w:val="24"/>
          <w:lang w:eastAsia="es-ES"/>
        </w:rPr>
        <w:t xml:space="preserve"> Los alcaldes deben incluir los mapas de riesgo del PDGRD como un </w:t>
      </w:r>
      <w:r w:rsidRPr="00E207A2">
        <w:rPr>
          <w:rFonts w:ascii="Arial" w:eastAsia="Times New Roman" w:hAnsi="Arial" w:cs="Arial"/>
          <w:b/>
          <w:bCs/>
          <w:sz w:val="24"/>
          <w:szCs w:val="24"/>
          <w:lang w:eastAsia="es-ES"/>
        </w:rPr>
        <w:t>determinante obligatorio</w:t>
      </w:r>
      <w:r w:rsidRPr="00E207A2">
        <w:rPr>
          <w:rFonts w:ascii="Arial" w:eastAsia="Times New Roman" w:hAnsi="Arial" w:cs="Arial"/>
          <w:sz w:val="24"/>
          <w:szCs w:val="24"/>
          <w:lang w:eastAsia="es-ES"/>
        </w:rPr>
        <w:t xml:space="preserve"> en sus Planes de Ordenamiento Territorial (POT) para prohibir nuevas construcciones en zonas inundables.</w:t>
      </w:r>
    </w:p>
    <w:p w:rsidR="004639FD" w:rsidRPr="004639FD" w:rsidRDefault="0060339E" w:rsidP="003311A0">
      <w:pPr>
        <w:numPr>
          <w:ilvl w:val="0"/>
          <w:numId w:val="27"/>
        </w:numPr>
        <w:spacing w:after="0" w:line="240" w:lineRule="auto"/>
        <w:ind w:left="0"/>
        <w:jc w:val="both"/>
        <w:rPr>
          <w:rFonts w:ascii="Arial" w:eastAsia="Times New Roman" w:hAnsi="Arial" w:cs="Arial"/>
          <w:b/>
          <w:bCs/>
          <w:sz w:val="24"/>
          <w:szCs w:val="24"/>
          <w:lang w:eastAsia="es-ES"/>
        </w:rPr>
      </w:pPr>
      <w:r w:rsidRPr="004639FD">
        <w:rPr>
          <w:rFonts w:ascii="Arial" w:eastAsia="Times New Roman" w:hAnsi="Arial" w:cs="Arial"/>
          <w:b/>
          <w:bCs/>
          <w:sz w:val="24"/>
          <w:szCs w:val="24"/>
          <w:lang w:eastAsia="es-ES"/>
        </w:rPr>
        <w:lastRenderedPageBreak/>
        <w:t>Uso de los POMCA:</w:t>
      </w:r>
      <w:r w:rsidRPr="004639FD">
        <w:rPr>
          <w:rFonts w:ascii="Arial" w:eastAsia="Times New Roman" w:hAnsi="Arial" w:cs="Arial"/>
          <w:sz w:val="24"/>
          <w:szCs w:val="24"/>
          <w:lang w:eastAsia="es-ES"/>
        </w:rPr>
        <w:t xml:space="preserve"> Se recomienda seguir estrictamente las directrices de los </w:t>
      </w:r>
      <w:r w:rsidRPr="004639FD">
        <w:rPr>
          <w:rFonts w:ascii="Arial" w:eastAsia="Times New Roman" w:hAnsi="Arial" w:cs="Arial"/>
          <w:b/>
          <w:bCs/>
          <w:sz w:val="24"/>
          <w:szCs w:val="24"/>
          <w:lang w:eastAsia="es-ES"/>
        </w:rPr>
        <w:t>Planes de Manejo de Cuencas</w:t>
      </w:r>
      <w:r w:rsidRPr="004639FD">
        <w:rPr>
          <w:rFonts w:ascii="Arial" w:eastAsia="Times New Roman" w:hAnsi="Arial" w:cs="Arial"/>
          <w:sz w:val="24"/>
          <w:szCs w:val="24"/>
          <w:lang w:eastAsia="es-ES"/>
        </w:rPr>
        <w:t xml:space="preserve"> (como el del río Hacha) para proteger las zonas de recarga hídr</w:t>
      </w:r>
      <w:r w:rsidR="004639FD" w:rsidRPr="004639FD">
        <w:rPr>
          <w:rFonts w:ascii="Arial" w:eastAsia="Times New Roman" w:hAnsi="Arial" w:cs="Arial"/>
          <w:sz w:val="24"/>
          <w:szCs w:val="24"/>
          <w:lang w:eastAsia="es-ES"/>
        </w:rPr>
        <w:t xml:space="preserve">ica y evitar la deforestación. </w:t>
      </w:r>
    </w:p>
    <w:p w:rsidR="004639FD" w:rsidRDefault="004639FD" w:rsidP="004639FD">
      <w:pPr>
        <w:spacing w:after="0" w:line="240" w:lineRule="auto"/>
        <w:jc w:val="both"/>
        <w:rPr>
          <w:rFonts w:ascii="Arial" w:eastAsia="Times New Roman" w:hAnsi="Arial" w:cs="Arial"/>
          <w:b/>
          <w:bCs/>
          <w:sz w:val="24"/>
          <w:szCs w:val="24"/>
          <w:lang w:eastAsia="es-ES"/>
        </w:rPr>
      </w:pPr>
    </w:p>
    <w:p w:rsidR="0060339E" w:rsidRDefault="0060339E" w:rsidP="004639FD">
      <w:pPr>
        <w:spacing w:after="0" w:line="240" w:lineRule="auto"/>
        <w:jc w:val="both"/>
        <w:rPr>
          <w:rFonts w:ascii="Arial" w:eastAsia="Times New Roman" w:hAnsi="Arial" w:cs="Arial"/>
          <w:b/>
          <w:bCs/>
          <w:sz w:val="24"/>
          <w:szCs w:val="24"/>
          <w:lang w:eastAsia="es-ES"/>
        </w:rPr>
      </w:pPr>
      <w:r w:rsidRPr="004639FD">
        <w:rPr>
          <w:rFonts w:ascii="Arial" w:eastAsia="Times New Roman" w:hAnsi="Arial" w:cs="Arial"/>
          <w:b/>
          <w:bCs/>
          <w:sz w:val="24"/>
          <w:szCs w:val="24"/>
          <w:lang w:eastAsia="es-ES"/>
        </w:rPr>
        <w:t>4. Relacionamiento y Educación</w:t>
      </w:r>
    </w:p>
    <w:p w:rsidR="004639FD" w:rsidRPr="004639FD" w:rsidRDefault="004639FD" w:rsidP="004639FD">
      <w:pPr>
        <w:spacing w:after="0" w:line="240" w:lineRule="auto"/>
        <w:jc w:val="both"/>
        <w:rPr>
          <w:rFonts w:ascii="Arial" w:eastAsia="Times New Roman" w:hAnsi="Arial" w:cs="Arial"/>
          <w:b/>
          <w:bCs/>
          <w:sz w:val="24"/>
          <w:szCs w:val="24"/>
          <w:lang w:eastAsia="es-ES"/>
        </w:rPr>
      </w:pPr>
    </w:p>
    <w:p w:rsidR="0060339E" w:rsidRPr="00E207A2" w:rsidRDefault="0060339E" w:rsidP="00E207A2">
      <w:pPr>
        <w:numPr>
          <w:ilvl w:val="0"/>
          <w:numId w:val="28"/>
        </w:numPr>
        <w:spacing w:after="0" w:line="240" w:lineRule="auto"/>
        <w:ind w:left="0"/>
        <w:jc w:val="both"/>
        <w:rPr>
          <w:rFonts w:ascii="Arial" w:eastAsia="Times New Roman" w:hAnsi="Arial" w:cs="Arial"/>
          <w:sz w:val="24"/>
          <w:szCs w:val="24"/>
          <w:lang w:eastAsia="es-ES"/>
        </w:rPr>
      </w:pPr>
      <w:r w:rsidRPr="00E207A2">
        <w:rPr>
          <w:rFonts w:ascii="Arial" w:eastAsia="Times New Roman" w:hAnsi="Arial" w:cs="Arial"/>
          <w:b/>
          <w:bCs/>
          <w:sz w:val="24"/>
          <w:szCs w:val="24"/>
          <w:lang w:eastAsia="es-ES"/>
        </w:rPr>
        <w:t>Sistemas de Alerta Temprana (SAT):</w:t>
      </w:r>
      <w:r w:rsidRPr="00E207A2">
        <w:rPr>
          <w:rFonts w:ascii="Arial" w:eastAsia="Times New Roman" w:hAnsi="Arial" w:cs="Arial"/>
          <w:sz w:val="24"/>
          <w:szCs w:val="24"/>
          <w:lang w:eastAsia="es-ES"/>
        </w:rPr>
        <w:t xml:space="preserve"> Instalar y mantener sistemas de comunicación con las comunidades rurales para avisar sobre crecientes súbitas antes de que lleguen a los centros poblados.</w:t>
      </w:r>
    </w:p>
    <w:p w:rsidR="004639FD" w:rsidRPr="004639FD" w:rsidRDefault="0060339E" w:rsidP="004639FD">
      <w:pPr>
        <w:numPr>
          <w:ilvl w:val="0"/>
          <w:numId w:val="28"/>
        </w:numPr>
        <w:spacing w:after="0" w:line="240" w:lineRule="auto"/>
        <w:ind w:left="0"/>
        <w:jc w:val="both"/>
        <w:rPr>
          <w:rFonts w:ascii="Arial" w:hAnsi="Arial" w:cs="Arial"/>
          <w:sz w:val="24"/>
          <w:szCs w:val="24"/>
        </w:rPr>
      </w:pPr>
      <w:r w:rsidRPr="00E207A2">
        <w:rPr>
          <w:rFonts w:ascii="Arial" w:eastAsia="Times New Roman" w:hAnsi="Arial" w:cs="Arial"/>
          <w:b/>
          <w:bCs/>
          <w:sz w:val="24"/>
          <w:szCs w:val="24"/>
          <w:lang w:eastAsia="es-ES"/>
        </w:rPr>
        <w:t>Cultura de Autoprotección:</w:t>
      </w:r>
      <w:r w:rsidRPr="00E207A2">
        <w:rPr>
          <w:rFonts w:ascii="Arial" w:eastAsia="Times New Roman" w:hAnsi="Arial" w:cs="Arial"/>
          <w:sz w:val="24"/>
          <w:szCs w:val="24"/>
          <w:lang w:eastAsia="es-ES"/>
        </w:rPr>
        <w:t xml:space="preserve"> Desarrollar programas de educación comunitaria que enseñen a las familias a identificar sus propias vulnerabilidades y a elaborar pl</w:t>
      </w:r>
      <w:r w:rsidR="004639FD">
        <w:rPr>
          <w:rFonts w:ascii="Arial" w:eastAsia="Times New Roman" w:hAnsi="Arial" w:cs="Arial"/>
          <w:sz w:val="24"/>
          <w:szCs w:val="24"/>
          <w:lang w:eastAsia="es-ES"/>
        </w:rPr>
        <w:t xml:space="preserve">anes de evacuación familiares. </w:t>
      </w:r>
    </w:p>
    <w:p w:rsidR="003724DD" w:rsidRDefault="003724DD" w:rsidP="003724DD">
      <w:pPr>
        <w:spacing w:after="0" w:line="240" w:lineRule="auto"/>
        <w:jc w:val="both"/>
        <w:rPr>
          <w:rFonts w:ascii="Arial" w:hAnsi="Arial" w:cs="Arial"/>
          <w:sz w:val="24"/>
          <w:szCs w:val="24"/>
        </w:rPr>
      </w:pPr>
    </w:p>
    <w:p w:rsidR="003724DD" w:rsidRDefault="003724DD" w:rsidP="003724DD">
      <w:pPr>
        <w:spacing w:after="0" w:line="240" w:lineRule="auto"/>
        <w:jc w:val="both"/>
        <w:rPr>
          <w:rFonts w:ascii="Arial" w:hAnsi="Arial" w:cs="Arial"/>
          <w:sz w:val="24"/>
          <w:szCs w:val="24"/>
        </w:rPr>
      </w:pPr>
      <w:r>
        <w:rPr>
          <w:rFonts w:ascii="Arial" w:hAnsi="Arial" w:cs="Arial"/>
          <w:sz w:val="24"/>
          <w:szCs w:val="24"/>
        </w:rPr>
        <w:t>*</w:t>
      </w:r>
      <w:r w:rsidRPr="003724DD">
        <w:rPr>
          <w:rFonts w:ascii="Arial" w:hAnsi="Arial" w:cs="Arial"/>
          <w:sz w:val="24"/>
          <w:szCs w:val="24"/>
        </w:rPr>
        <w:t xml:space="preserve">El documento de PDGR no incorpora la explotación minera (oro, material de arrastre, </w:t>
      </w:r>
      <w:proofErr w:type="spellStart"/>
      <w:r w:rsidRPr="003724DD">
        <w:rPr>
          <w:rFonts w:ascii="Arial" w:hAnsi="Arial" w:cs="Arial"/>
          <w:sz w:val="24"/>
          <w:szCs w:val="24"/>
        </w:rPr>
        <w:t>asfaltita</w:t>
      </w:r>
      <w:proofErr w:type="spellEnd"/>
      <w:r w:rsidRPr="003724DD">
        <w:rPr>
          <w:rFonts w:ascii="Arial" w:hAnsi="Arial" w:cs="Arial"/>
          <w:sz w:val="24"/>
          <w:szCs w:val="24"/>
        </w:rPr>
        <w:t xml:space="preserve">, tierras raras </w:t>
      </w:r>
      <w:proofErr w:type="spellStart"/>
      <w:r w:rsidRPr="003724DD">
        <w:rPr>
          <w:rFonts w:ascii="Arial" w:hAnsi="Arial" w:cs="Arial"/>
          <w:sz w:val="24"/>
          <w:szCs w:val="24"/>
        </w:rPr>
        <w:t>etc</w:t>
      </w:r>
      <w:proofErr w:type="spellEnd"/>
      <w:r w:rsidRPr="003724DD">
        <w:rPr>
          <w:rFonts w:ascii="Arial" w:hAnsi="Arial" w:cs="Arial"/>
          <w:sz w:val="24"/>
          <w:szCs w:val="24"/>
        </w:rPr>
        <w:t>) entre las principales amenazas. Solamente visualiza el tema de hidrocarburos y represas.</w:t>
      </w:r>
    </w:p>
    <w:p w:rsidR="003724DD" w:rsidRPr="003724DD" w:rsidRDefault="003724DD" w:rsidP="003724DD">
      <w:pPr>
        <w:spacing w:after="0" w:line="240" w:lineRule="auto"/>
        <w:jc w:val="both"/>
        <w:rPr>
          <w:rFonts w:ascii="Arial" w:hAnsi="Arial" w:cs="Arial"/>
          <w:sz w:val="24"/>
          <w:szCs w:val="24"/>
        </w:rPr>
      </w:pPr>
    </w:p>
    <w:p w:rsidR="003724DD" w:rsidRDefault="003724DD" w:rsidP="003724DD">
      <w:pPr>
        <w:spacing w:after="0" w:line="240" w:lineRule="auto"/>
        <w:jc w:val="both"/>
        <w:rPr>
          <w:rFonts w:ascii="Arial" w:hAnsi="Arial" w:cs="Arial"/>
          <w:sz w:val="24"/>
          <w:szCs w:val="24"/>
        </w:rPr>
      </w:pPr>
      <w:r>
        <w:rPr>
          <w:rFonts w:ascii="Arial" w:hAnsi="Arial" w:cs="Arial"/>
          <w:sz w:val="24"/>
          <w:szCs w:val="24"/>
        </w:rPr>
        <w:t>*</w:t>
      </w:r>
      <w:r w:rsidRPr="003724DD">
        <w:rPr>
          <w:rFonts w:ascii="Arial" w:hAnsi="Arial" w:cs="Arial"/>
          <w:sz w:val="24"/>
          <w:szCs w:val="24"/>
        </w:rPr>
        <w:t>Se debe iniciar a construir una base de datos, tanto en la oficina de la UNGR depa</w:t>
      </w:r>
      <w:r>
        <w:rPr>
          <w:rFonts w:ascii="Arial" w:hAnsi="Arial" w:cs="Arial"/>
          <w:sz w:val="24"/>
          <w:szCs w:val="24"/>
        </w:rPr>
        <w:t>rtamental y las municipales, don</w:t>
      </w:r>
      <w:r w:rsidRPr="003724DD">
        <w:rPr>
          <w:rFonts w:ascii="Arial" w:hAnsi="Arial" w:cs="Arial"/>
          <w:sz w:val="24"/>
          <w:szCs w:val="24"/>
        </w:rPr>
        <w:t>de se realicen análisis, verificación, sistematización y que cuenten con medios tecnológicos.</w:t>
      </w:r>
    </w:p>
    <w:p w:rsidR="003724DD" w:rsidRPr="003724DD" w:rsidRDefault="003724DD" w:rsidP="003724DD">
      <w:pPr>
        <w:spacing w:after="0" w:line="240" w:lineRule="auto"/>
        <w:jc w:val="both"/>
        <w:rPr>
          <w:rFonts w:ascii="Arial" w:hAnsi="Arial" w:cs="Arial"/>
          <w:sz w:val="24"/>
          <w:szCs w:val="24"/>
        </w:rPr>
      </w:pPr>
    </w:p>
    <w:p w:rsidR="003724DD" w:rsidRDefault="003724DD" w:rsidP="003724DD">
      <w:pPr>
        <w:spacing w:after="0" w:line="240" w:lineRule="auto"/>
        <w:jc w:val="both"/>
        <w:rPr>
          <w:rFonts w:ascii="Arial" w:hAnsi="Arial" w:cs="Arial"/>
          <w:sz w:val="24"/>
          <w:szCs w:val="24"/>
        </w:rPr>
      </w:pPr>
      <w:r>
        <w:rPr>
          <w:rFonts w:ascii="Arial" w:hAnsi="Arial" w:cs="Arial"/>
          <w:sz w:val="24"/>
          <w:szCs w:val="24"/>
        </w:rPr>
        <w:t>*</w:t>
      </w:r>
      <w:r w:rsidRPr="003724DD">
        <w:rPr>
          <w:rFonts w:ascii="Arial" w:hAnsi="Arial" w:cs="Arial"/>
          <w:sz w:val="24"/>
          <w:szCs w:val="24"/>
        </w:rPr>
        <w:t>El PDGR y los PMGR deben de incorporarlos en todos los procesos de planificación, además de tener actualizado los POT, POMCAS, EOT, PBOT.</w:t>
      </w:r>
    </w:p>
    <w:p w:rsidR="003724DD" w:rsidRPr="003724DD" w:rsidRDefault="003724DD" w:rsidP="003724DD">
      <w:pPr>
        <w:spacing w:after="0" w:line="240" w:lineRule="auto"/>
        <w:jc w:val="both"/>
        <w:rPr>
          <w:rFonts w:ascii="Arial" w:hAnsi="Arial" w:cs="Arial"/>
          <w:sz w:val="24"/>
          <w:szCs w:val="24"/>
        </w:rPr>
      </w:pPr>
    </w:p>
    <w:p w:rsidR="003724DD" w:rsidRDefault="003724DD" w:rsidP="003724DD">
      <w:pPr>
        <w:spacing w:after="0" w:line="240" w:lineRule="auto"/>
        <w:jc w:val="both"/>
        <w:rPr>
          <w:rFonts w:ascii="Arial" w:hAnsi="Arial" w:cs="Arial"/>
          <w:sz w:val="24"/>
          <w:szCs w:val="24"/>
        </w:rPr>
      </w:pPr>
      <w:r>
        <w:rPr>
          <w:rFonts w:ascii="Arial" w:hAnsi="Arial" w:cs="Arial"/>
          <w:sz w:val="24"/>
          <w:szCs w:val="24"/>
        </w:rPr>
        <w:t>*</w:t>
      </w:r>
      <w:r w:rsidRPr="003724DD">
        <w:rPr>
          <w:rFonts w:ascii="Arial" w:hAnsi="Arial" w:cs="Arial"/>
          <w:sz w:val="24"/>
          <w:szCs w:val="24"/>
        </w:rPr>
        <w:t>Incorporar el tema minero en la vocación del uso del suelo y la vocación productiva de la población.</w:t>
      </w:r>
    </w:p>
    <w:p w:rsidR="003724DD" w:rsidRPr="003724DD" w:rsidRDefault="003724DD" w:rsidP="003724DD">
      <w:pPr>
        <w:spacing w:after="0" w:line="240" w:lineRule="auto"/>
        <w:jc w:val="both"/>
        <w:rPr>
          <w:rFonts w:ascii="Arial" w:hAnsi="Arial" w:cs="Arial"/>
          <w:sz w:val="24"/>
          <w:szCs w:val="24"/>
        </w:rPr>
      </w:pPr>
    </w:p>
    <w:p w:rsidR="003724DD" w:rsidRPr="003724DD" w:rsidRDefault="003724DD" w:rsidP="003724DD">
      <w:pPr>
        <w:spacing w:after="0" w:line="240" w:lineRule="auto"/>
        <w:jc w:val="both"/>
        <w:rPr>
          <w:rFonts w:ascii="Arial" w:hAnsi="Arial" w:cs="Arial"/>
          <w:sz w:val="24"/>
          <w:szCs w:val="24"/>
        </w:rPr>
      </w:pPr>
      <w:r>
        <w:rPr>
          <w:rFonts w:ascii="Arial" w:hAnsi="Arial" w:cs="Arial"/>
          <w:sz w:val="24"/>
          <w:szCs w:val="24"/>
        </w:rPr>
        <w:t>*</w:t>
      </w:r>
      <w:r w:rsidRPr="003724DD">
        <w:rPr>
          <w:rFonts w:ascii="Arial" w:hAnsi="Arial" w:cs="Arial"/>
          <w:sz w:val="24"/>
          <w:szCs w:val="24"/>
        </w:rPr>
        <w:t>En el POT es fundamental visibilizar el tema minero y de material de arrastre.</w:t>
      </w:r>
    </w:p>
    <w:p w:rsidR="003724DD" w:rsidRDefault="003724DD" w:rsidP="003724DD">
      <w:pPr>
        <w:spacing w:after="0" w:line="240" w:lineRule="auto"/>
        <w:jc w:val="both"/>
        <w:rPr>
          <w:rFonts w:ascii="Arial" w:hAnsi="Arial" w:cs="Arial"/>
          <w:sz w:val="24"/>
          <w:szCs w:val="24"/>
        </w:rPr>
      </w:pPr>
      <w:r w:rsidRPr="003724DD">
        <w:rPr>
          <w:rFonts w:ascii="Arial" w:hAnsi="Arial" w:cs="Arial"/>
          <w:sz w:val="24"/>
          <w:szCs w:val="24"/>
        </w:rPr>
        <w:t>Se debe controlar los focos de minería ilegal, para evitar que llegue a desbordarse el conflicto social.</w:t>
      </w:r>
    </w:p>
    <w:p w:rsidR="003724DD" w:rsidRPr="003724DD" w:rsidRDefault="003724DD" w:rsidP="003724DD">
      <w:pPr>
        <w:spacing w:after="0" w:line="240" w:lineRule="auto"/>
        <w:jc w:val="both"/>
        <w:rPr>
          <w:rFonts w:ascii="Arial" w:hAnsi="Arial" w:cs="Arial"/>
          <w:sz w:val="24"/>
          <w:szCs w:val="24"/>
        </w:rPr>
      </w:pPr>
    </w:p>
    <w:p w:rsidR="003724DD" w:rsidRDefault="003724DD" w:rsidP="003724DD">
      <w:pPr>
        <w:spacing w:after="0" w:line="240" w:lineRule="auto"/>
        <w:jc w:val="both"/>
        <w:rPr>
          <w:rFonts w:ascii="Arial" w:hAnsi="Arial" w:cs="Arial"/>
          <w:sz w:val="24"/>
          <w:szCs w:val="24"/>
        </w:rPr>
      </w:pPr>
      <w:r>
        <w:rPr>
          <w:rFonts w:ascii="Arial" w:hAnsi="Arial" w:cs="Arial"/>
          <w:sz w:val="24"/>
          <w:szCs w:val="24"/>
        </w:rPr>
        <w:t>*</w:t>
      </w:r>
      <w:r w:rsidRPr="003724DD">
        <w:rPr>
          <w:rFonts w:ascii="Arial" w:hAnsi="Arial" w:cs="Arial"/>
          <w:sz w:val="24"/>
          <w:szCs w:val="24"/>
        </w:rPr>
        <w:t>En los estudios de los POMCAS, de sísmica y de deforestación se debe vincular el tema minero.</w:t>
      </w:r>
    </w:p>
    <w:p w:rsidR="003724DD" w:rsidRPr="003724DD" w:rsidRDefault="003724DD" w:rsidP="003724DD">
      <w:pPr>
        <w:spacing w:after="0" w:line="240" w:lineRule="auto"/>
        <w:jc w:val="both"/>
        <w:rPr>
          <w:rFonts w:ascii="Arial" w:hAnsi="Arial" w:cs="Arial"/>
          <w:sz w:val="24"/>
          <w:szCs w:val="24"/>
        </w:rPr>
      </w:pPr>
    </w:p>
    <w:p w:rsidR="003724DD" w:rsidRDefault="003724DD" w:rsidP="003724DD">
      <w:pPr>
        <w:spacing w:after="0" w:line="240" w:lineRule="auto"/>
        <w:jc w:val="both"/>
        <w:rPr>
          <w:rFonts w:ascii="Arial" w:hAnsi="Arial" w:cs="Arial"/>
          <w:sz w:val="24"/>
          <w:szCs w:val="24"/>
        </w:rPr>
      </w:pPr>
      <w:r>
        <w:rPr>
          <w:rFonts w:ascii="Arial" w:hAnsi="Arial" w:cs="Arial"/>
          <w:sz w:val="24"/>
          <w:szCs w:val="24"/>
        </w:rPr>
        <w:t>*</w:t>
      </w:r>
      <w:r w:rsidRPr="003724DD">
        <w:rPr>
          <w:rFonts w:ascii="Arial" w:hAnsi="Arial" w:cs="Arial"/>
          <w:sz w:val="24"/>
          <w:szCs w:val="24"/>
        </w:rPr>
        <w:t>Es necesario que a nivel departamental y municipal designen personal capacitado para el manejo de la información, y puedan realizar una labor efectiva en prevención y atención de desastres.</w:t>
      </w:r>
    </w:p>
    <w:p w:rsidR="003724DD" w:rsidRPr="003724DD" w:rsidRDefault="003724DD" w:rsidP="003724DD">
      <w:pPr>
        <w:spacing w:after="0" w:line="240" w:lineRule="auto"/>
        <w:jc w:val="both"/>
        <w:rPr>
          <w:rFonts w:ascii="Arial" w:hAnsi="Arial" w:cs="Arial"/>
          <w:sz w:val="24"/>
          <w:szCs w:val="24"/>
        </w:rPr>
      </w:pPr>
    </w:p>
    <w:p w:rsidR="003724DD" w:rsidRDefault="003724DD" w:rsidP="003724DD">
      <w:pPr>
        <w:spacing w:after="0" w:line="240" w:lineRule="auto"/>
        <w:jc w:val="both"/>
      </w:pPr>
      <w:r>
        <w:rPr>
          <w:rFonts w:ascii="Arial" w:hAnsi="Arial" w:cs="Arial"/>
          <w:sz w:val="24"/>
          <w:szCs w:val="24"/>
        </w:rPr>
        <w:t>*</w:t>
      </w:r>
      <w:r w:rsidRPr="003724DD">
        <w:rPr>
          <w:rFonts w:ascii="Arial" w:hAnsi="Arial" w:cs="Arial"/>
          <w:sz w:val="24"/>
          <w:szCs w:val="24"/>
        </w:rPr>
        <w:t>Capacitar y apoyar a las comunidades en temas de organización comunitaria y conocimiento de los riesgos y amenazas que ayuden en tiempo real el monitoreo de las zonas.</w:t>
      </w:r>
      <w:r w:rsidRPr="003724DD">
        <w:t xml:space="preserve"> </w:t>
      </w:r>
    </w:p>
    <w:p w:rsidR="003724DD" w:rsidRDefault="003724DD" w:rsidP="003724DD">
      <w:pPr>
        <w:spacing w:after="0" w:line="240" w:lineRule="auto"/>
        <w:jc w:val="both"/>
      </w:pPr>
    </w:p>
    <w:p w:rsidR="003724DD" w:rsidRDefault="003724DD" w:rsidP="003724DD">
      <w:pPr>
        <w:spacing w:after="0" w:line="240" w:lineRule="auto"/>
        <w:jc w:val="both"/>
        <w:rPr>
          <w:rFonts w:ascii="Arial" w:hAnsi="Arial" w:cs="Arial"/>
          <w:sz w:val="24"/>
          <w:szCs w:val="24"/>
        </w:rPr>
      </w:pPr>
      <w:r>
        <w:rPr>
          <w:rFonts w:ascii="Arial" w:hAnsi="Arial" w:cs="Arial"/>
          <w:sz w:val="24"/>
          <w:szCs w:val="24"/>
        </w:rPr>
        <w:t>*</w:t>
      </w:r>
      <w:r w:rsidRPr="003724DD">
        <w:rPr>
          <w:rFonts w:ascii="Arial" w:hAnsi="Arial" w:cs="Arial"/>
          <w:sz w:val="24"/>
          <w:szCs w:val="24"/>
        </w:rPr>
        <w:t>Se debe controlar los focos de minería ilegal, para evitar que llegue a desbordarse el conflicto social.</w:t>
      </w:r>
    </w:p>
    <w:p w:rsidR="003724DD" w:rsidRDefault="003724DD" w:rsidP="003724DD">
      <w:pPr>
        <w:spacing w:after="0" w:line="240" w:lineRule="auto"/>
        <w:jc w:val="both"/>
        <w:rPr>
          <w:rFonts w:ascii="Arial" w:hAnsi="Arial" w:cs="Arial"/>
          <w:sz w:val="24"/>
          <w:szCs w:val="24"/>
        </w:rPr>
      </w:pPr>
    </w:p>
    <w:p w:rsidR="006D20E1" w:rsidRDefault="006D20E1" w:rsidP="003724DD">
      <w:pPr>
        <w:spacing w:after="0" w:line="240" w:lineRule="auto"/>
        <w:jc w:val="both"/>
        <w:rPr>
          <w:rFonts w:ascii="Arial" w:hAnsi="Arial" w:cs="Arial"/>
          <w:sz w:val="24"/>
          <w:szCs w:val="24"/>
        </w:rPr>
      </w:pPr>
      <w:r>
        <w:rPr>
          <w:noProof/>
          <w:lang w:eastAsia="es-ES"/>
        </w:rPr>
        <w:drawing>
          <wp:anchor distT="0" distB="0" distL="114300" distR="114300" simplePos="0" relativeHeight="251659264" behindDoc="0" locked="0" layoutInCell="1" allowOverlap="1" wp14:anchorId="2CE613EF" wp14:editId="11978946">
            <wp:simplePos x="0" y="0"/>
            <wp:positionH relativeFrom="margin">
              <wp:align>left</wp:align>
            </wp:positionH>
            <wp:positionV relativeFrom="paragraph">
              <wp:posOffset>10219</wp:posOffset>
            </wp:positionV>
            <wp:extent cx="829310" cy="375920"/>
            <wp:effectExtent l="0" t="0" r="8890" b="5080"/>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9310" cy="3759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D20E1" w:rsidRDefault="006D20E1" w:rsidP="006D20E1">
      <w:pPr>
        <w:rPr>
          <w:rFonts w:ascii="Arial" w:hAnsi="Arial" w:cs="Arial"/>
          <w:sz w:val="24"/>
          <w:szCs w:val="24"/>
        </w:rPr>
      </w:pPr>
    </w:p>
    <w:p w:rsidR="006D20E1" w:rsidRDefault="006D20E1" w:rsidP="006D20E1">
      <w:pPr>
        <w:spacing w:after="0" w:line="240" w:lineRule="auto"/>
        <w:jc w:val="both"/>
        <w:rPr>
          <w:rFonts w:ascii="Arial" w:eastAsia="Times New Roman" w:hAnsi="Arial" w:cs="Arial"/>
          <w:b/>
          <w:bCs/>
          <w:sz w:val="20"/>
          <w:szCs w:val="20"/>
          <w:lang w:eastAsia="es-CO"/>
        </w:rPr>
      </w:pPr>
      <w:r w:rsidRPr="16950CB6">
        <w:rPr>
          <w:rFonts w:ascii="Arial" w:eastAsia="Times New Roman" w:hAnsi="Arial" w:cs="Arial"/>
          <w:b/>
          <w:bCs/>
          <w:sz w:val="20"/>
          <w:szCs w:val="20"/>
          <w:lang w:eastAsia="es-CO"/>
        </w:rPr>
        <w:t>Firma_______________________________</w:t>
      </w:r>
    </w:p>
    <w:p w:rsidR="006D20E1" w:rsidRDefault="006D20E1" w:rsidP="006D20E1">
      <w:pPr>
        <w:spacing w:after="0" w:line="240" w:lineRule="auto"/>
        <w:jc w:val="both"/>
        <w:rPr>
          <w:rFonts w:ascii="Arial" w:eastAsia="Times New Roman" w:hAnsi="Arial" w:cs="Arial"/>
          <w:sz w:val="20"/>
          <w:szCs w:val="20"/>
          <w:lang w:eastAsia="es-CO"/>
        </w:rPr>
      </w:pPr>
      <w:r w:rsidRPr="16950CB6">
        <w:rPr>
          <w:rFonts w:ascii="Arial" w:eastAsia="Times New Roman" w:hAnsi="Arial" w:cs="Arial"/>
          <w:b/>
          <w:bCs/>
          <w:sz w:val="20"/>
          <w:szCs w:val="20"/>
          <w:lang w:eastAsia="es-CO"/>
        </w:rPr>
        <w:t xml:space="preserve">Elaboró: </w:t>
      </w:r>
      <w:r>
        <w:rPr>
          <w:rFonts w:ascii="Arial" w:eastAsia="Times New Roman" w:hAnsi="Arial" w:cs="Arial"/>
          <w:b/>
          <w:bCs/>
          <w:sz w:val="20"/>
          <w:szCs w:val="20"/>
          <w:lang w:eastAsia="es-CO"/>
        </w:rPr>
        <w:t>Edwin Darío Villanueva Bustos</w:t>
      </w:r>
    </w:p>
    <w:p w:rsidR="006D20E1" w:rsidRPr="006D20E1" w:rsidRDefault="006D20E1" w:rsidP="003724DD">
      <w:pPr>
        <w:spacing w:after="0" w:line="240" w:lineRule="auto"/>
        <w:jc w:val="both"/>
      </w:pPr>
      <w:r w:rsidRPr="0E74810A">
        <w:rPr>
          <w:rFonts w:ascii="Arial" w:eastAsia="Times New Roman" w:hAnsi="Arial" w:cs="Arial"/>
          <w:b/>
          <w:bCs/>
          <w:sz w:val="20"/>
          <w:szCs w:val="20"/>
          <w:lang w:eastAsia="es-CO"/>
        </w:rPr>
        <w:t>Sala de monitoreo – Viceministerio de Minas</w:t>
      </w:r>
      <w:bookmarkStart w:id="0" w:name="_GoBack"/>
      <w:bookmarkEnd w:id="0"/>
    </w:p>
    <w:p w:rsidR="006D20E1" w:rsidRPr="006D20E1" w:rsidRDefault="006D20E1" w:rsidP="006D20E1">
      <w:pPr>
        <w:rPr>
          <w:rFonts w:ascii="Arial" w:hAnsi="Arial" w:cs="Arial"/>
          <w:sz w:val="24"/>
          <w:szCs w:val="24"/>
        </w:rPr>
      </w:pPr>
    </w:p>
    <w:sectPr w:rsidR="006D20E1" w:rsidRPr="006D20E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A0376"/>
    <w:multiLevelType w:val="multilevel"/>
    <w:tmpl w:val="E94E0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3D70D6"/>
    <w:multiLevelType w:val="multilevel"/>
    <w:tmpl w:val="1982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42219"/>
    <w:multiLevelType w:val="multilevel"/>
    <w:tmpl w:val="9942E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52749E"/>
    <w:multiLevelType w:val="multilevel"/>
    <w:tmpl w:val="4CD4B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7D7B3C"/>
    <w:multiLevelType w:val="multilevel"/>
    <w:tmpl w:val="FA22B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701C63"/>
    <w:multiLevelType w:val="multilevel"/>
    <w:tmpl w:val="4C34F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82050B"/>
    <w:multiLevelType w:val="multilevel"/>
    <w:tmpl w:val="2C5C3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1607B1"/>
    <w:multiLevelType w:val="multilevel"/>
    <w:tmpl w:val="86142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4A6BB9"/>
    <w:multiLevelType w:val="multilevel"/>
    <w:tmpl w:val="EDBC0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C70245"/>
    <w:multiLevelType w:val="multilevel"/>
    <w:tmpl w:val="60AE4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45764D"/>
    <w:multiLevelType w:val="multilevel"/>
    <w:tmpl w:val="84F8B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D65ED8"/>
    <w:multiLevelType w:val="multilevel"/>
    <w:tmpl w:val="87A8A7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B61FF8"/>
    <w:multiLevelType w:val="multilevel"/>
    <w:tmpl w:val="56323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756064"/>
    <w:multiLevelType w:val="multilevel"/>
    <w:tmpl w:val="294E1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3333DA"/>
    <w:multiLevelType w:val="multilevel"/>
    <w:tmpl w:val="C78603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9DD3479"/>
    <w:multiLevelType w:val="multilevel"/>
    <w:tmpl w:val="80A6F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DE4101"/>
    <w:multiLevelType w:val="multilevel"/>
    <w:tmpl w:val="F66C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F649D2"/>
    <w:multiLevelType w:val="multilevel"/>
    <w:tmpl w:val="5D10B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1437C8"/>
    <w:multiLevelType w:val="multilevel"/>
    <w:tmpl w:val="4D8E8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350D48"/>
    <w:multiLevelType w:val="multilevel"/>
    <w:tmpl w:val="753E3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454C68"/>
    <w:multiLevelType w:val="multilevel"/>
    <w:tmpl w:val="FEA6D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985F3D"/>
    <w:multiLevelType w:val="multilevel"/>
    <w:tmpl w:val="D9260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AD6018B"/>
    <w:multiLevelType w:val="multilevel"/>
    <w:tmpl w:val="DC58A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BAE5D59"/>
    <w:multiLevelType w:val="multilevel"/>
    <w:tmpl w:val="C25AA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76E79A8"/>
    <w:multiLevelType w:val="multilevel"/>
    <w:tmpl w:val="E6EED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7CE6301"/>
    <w:multiLevelType w:val="multilevel"/>
    <w:tmpl w:val="F4809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98D7BE2"/>
    <w:multiLevelType w:val="multilevel"/>
    <w:tmpl w:val="D12E4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783B63"/>
    <w:multiLevelType w:val="multilevel"/>
    <w:tmpl w:val="0E60F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27"/>
  </w:num>
  <w:num w:numId="3">
    <w:abstractNumId w:val="17"/>
  </w:num>
  <w:num w:numId="4">
    <w:abstractNumId w:val="5"/>
  </w:num>
  <w:num w:numId="5">
    <w:abstractNumId w:val="14"/>
  </w:num>
  <w:num w:numId="6">
    <w:abstractNumId w:val="12"/>
  </w:num>
  <w:num w:numId="7">
    <w:abstractNumId w:val="2"/>
  </w:num>
  <w:num w:numId="8">
    <w:abstractNumId w:val="24"/>
  </w:num>
  <w:num w:numId="9">
    <w:abstractNumId w:val="3"/>
  </w:num>
  <w:num w:numId="10">
    <w:abstractNumId w:val="18"/>
  </w:num>
  <w:num w:numId="11">
    <w:abstractNumId w:val="20"/>
  </w:num>
  <w:num w:numId="12">
    <w:abstractNumId w:val="4"/>
  </w:num>
  <w:num w:numId="13">
    <w:abstractNumId w:val="22"/>
  </w:num>
  <w:num w:numId="14">
    <w:abstractNumId w:val="0"/>
  </w:num>
  <w:num w:numId="15">
    <w:abstractNumId w:val="13"/>
  </w:num>
  <w:num w:numId="16">
    <w:abstractNumId w:val="21"/>
  </w:num>
  <w:num w:numId="17">
    <w:abstractNumId w:val="15"/>
  </w:num>
  <w:num w:numId="18">
    <w:abstractNumId w:val="10"/>
  </w:num>
  <w:num w:numId="19">
    <w:abstractNumId w:val="6"/>
  </w:num>
  <w:num w:numId="20">
    <w:abstractNumId w:val="26"/>
  </w:num>
  <w:num w:numId="21">
    <w:abstractNumId w:val="25"/>
  </w:num>
  <w:num w:numId="22">
    <w:abstractNumId w:val="9"/>
  </w:num>
  <w:num w:numId="23">
    <w:abstractNumId w:val="23"/>
  </w:num>
  <w:num w:numId="24">
    <w:abstractNumId w:val="7"/>
  </w:num>
  <w:num w:numId="25">
    <w:abstractNumId w:val="8"/>
  </w:num>
  <w:num w:numId="26">
    <w:abstractNumId w:val="11"/>
  </w:num>
  <w:num w:numId="27">
    <w:abstractNumId w:val="16"/>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268"/>
    <w:rsid w:val="00085638"/>
    <w:rsid w:val="002012A5"/>
    <w:rsid w:val="00203876"/>
    <w:rsid w:val="0020396D"/>
    <w:rsid w:val="00245C2E"/>
    <w:rsid w:val="002D3268"/>
    <w:rsid w:val="003205FF"/>
    <w:rsid w:val="003724DD"/>
    <w:rsid w:val="00384962"/>
    <w:rsid w:val="004345DD"/>
    <w:rsid w:val="004639FD"/>
    <w:rsid w:val="004D0E67"/>
    <w:rsid w:val="005B017F"/>
    <w:rsid w:val="005B7671"/>
    <w:rsid w:val="0060339E"/>
    <w:rsid w:val="006B4C4C"/>
    <w:rsid w:val="006B604F"/>
    <w:rsid w:val="006D20E1"/>
    <w:rsid w:val="006D7D69"/>
    <w:rsid w:val="00710D53"/>
    <w:rsid w:val="00755AE7"/>
    <w:rsid w:val="00801421"/>
    <w:rsid w:val="008422C0"/>
    <w:rsid w:val="00875962"/>
    <w:rsid w:val="00882F83"/>
    <w:rsid w:val="00957683"/>
    <w:rsid w:val="00962DF4"/>
    <w:rsid w:val="00971A1B"/>
    <w:rsid w:val="009944C3"/>
    <w:rsid w:val="009E1FE1"/>
    <w:rsid w:val="00AD60DB"/>
    <w:rsid w:val="00C75659"/>
    <w:rsid w:val="00D06BB5"/>
    <w:rsid w:val="00D84718"/>
    <w:rsid w:val="00E207A2"/>
    <w:rsid w:val="00EE0EB4"/>
    <w:rsid w:val="00F4391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4B320"/>
  <w15:chartTrackingRefBased/>
  <w15:docId w15:val="{90855A02-B0EF-412C-B44D-A6F5899AC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ennegrita">
    <w:name w:val="Strong"/>
    <w:basedOn w:val="Fuentedeprrafopredeter"/>
    <w:uiPriority w:val="22"/>
    <w:qFormat/>
    <w:rsid w:val="002D3268"/>
    <w:rPr>
      <w:b/>
      <w:bCs/>
    </w:rPr>
  </w:style>
  <w:style w:type="character" w:customStyle="1" w:styleId="t286pc">
    <w:name w:val="t286pc"/>
    <w:basedOn w:val="Fuentedeprrafopredeter"/>
    <w:rsid w:val="002D3268"/>
  </w:style>
  <w:style w:type="character" w:styleId="Hipervnculo">
    <w:name w:val="Hyperlink"/>
    <w:basedOn w:val="Fuentedeprrafopredeter"/>
    <w:uiPriority w:val="99"/>
    <w:semiHidden/>
    <w:unhideWhenUsed/>
    <w:rsid w:val="002D3268"/>
    <w:rPr>
      <w:color w:val="0000FF"/>
      <w:u w:val="single"/>
    </w:rPr>
  </w:style>
  <w:style w:type="character" w:customStyle="1" w:styleId="vndci">
    <w:name w:val="vndci"/>
    <w:basedOn w:val="Fuentedeprrafopredeter"/>
    <w:rsid w:val="00755AE7"/>
  </w:style>
  <w:style w:type="character" w:styleId="nfasis">
    <w:name w:val="Emphasis"/>
    <w:basedOn w:val="Fuentedeprrafopredeter"/>
    <w:uiPriority w:val="20"/>
    <w:qFormat/>
    <w:rsid w:val="00755AE7"/>
    <w:rPr>
      <w:i/>
      <w:iCs/>
    </w:rPr>
  </w:style>
  <w:style w:type="paragraph" w:styleId="Prrafodelista">
    <w:name w:val="List Paragraph"/>
    <w:basedOn w:val="Normal"/>
    <w:uiPriority w:val="34"/>
    <w:qFormat/>
    <w:rsid w:val="00C75659"/>
    <w:pPr>
      <w:ind w:left="720"/>
      <w:contextualSpacing/>
    </w:pPr>
  </w:style>
  <w:style w:type="character" w:styleId="Textodelmarcadordeposicin">
    <w:name w:val="Placeholder Text"/>
    <w:basedOn w:val="Fuentedeprrafopredeter"/>
    <w:uiPriority w:val="99"/>
    <w:semiHidden/>
    <w:rsid w:val="00882F8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4911">
      <w:bodyDiv w:val="1"/>
      <w:marLeft w:val="0"/>
      <w:marRight w:val="0"/>
      <w:marTop w:val="0"/>
      <w:marBottom w:val="0"/>
      <w:divBdr>
        <w:top w:val="none" w:sz="0" w:space="0" w:color="auto"/>
        <w:left w:val="none" w:sz="0" w:space="0" w:color="auto"/>
        <w:bottom w:val="none" w:sz="0" w:space="0" w:color="auto"/>
        <w:right w:val="none" w:sz="0" w:space="0" w:color="auto"/>
      </w:divBdr>
      <w:divsChild>
        <w:div w:id="1708097295">
          <w:marLeft w:val="0"/>
          <w:marRight w:val="0"/>
          <w:marTop w:val="180"/>
          <w:marBottom w:val="240"/>
          <w:divBdr>
            <w:top w:val="none" w:sz="0" w:space="0" w:color="auto"/>
            <w:left w:val="none" w:sz="0" w:space="0" w:color="auto"/>
            <w:bottom w:val="none" w:sz="0" w:space="0" w:color="auto"/>
            <w:right w:val="none" w:sz="0" w:space="0" w:color="auto"/>
          </w:divBdr>
        </w:div>
        <w:div w:id="423961487">
          <w:marLeft w:val="0"/>
          <w:marRight w:val="0"/>
          <w:marTop w:val="180"/>
          <w:marBottom w:val="240"/>
          <w:divBdr>
            <w:top w:val="none" w:sz="0" w:space="0" w:color="auto"/>
            <w:left w:val="none" w:sz="0" w:space="0" w:color="auto"/>
            <w:bottom w:val="none" w:sz="0" w:space="0" w:color="auto"/>
            <w:right w:val="none" w:sz="0" w:space="0" w:color="auto"/>
          </w:divBdr>
        </w:div>
        <w:div w:id="740912430">
          <w:marLeft w:val="0"/>
          <w:marRight w:val="0"/>
          <w:marTop w:val="360"/>
          <w:marBottom w:val="180"/>
          <w:divBdr>
            <w:top w:val="none" w:sz="0" w:space="0" w:color="auto"/>
            <w:left w:val="none" w:sz="0" w:space="0" w:color="auto"/>
            <w:bottom w:val="none" w:sz="0" w:space="0" w:color="auto"/>
            <w:right w:val="none" w:sz="0" w:space="0" w:color="auto"/>
          </w:divBdr>
        </w:div>
        <w:div w:id="1878200572">
          <w:marLeft w:val="0"/>
          <w:marRight w:val="0"/>
          <w:marTop w:val="360"/>
          <w:marBottom w:val="180"/>
          <w:divBdr>
            <w:top w:val="none" w:sz="0" w:space="0" w:color="auto"/>
            <w:left w:val="none" w:sz="0" w:space="0" w:color="auto"/>
            <w:bottom w:val="none" w:sz="0" w:space="0" w:color="auto"/>
            <w:right w:val="none" w:sz="0" w:space="0" w:color="auto"/>
          </w:divBdr>
        </w:div>
        <w:div w:id="826020425">
          <w:marLeft w:val="0"/>
          <w:marRight w:val="0"/>
          <w:marTop w:val="180"/>
          <w:marBottom w:val="240"/>
          <w:divBdr>
            <w:top w:val="none" w:sz="0" w:space="0" w:color="auto"/>
            <w:left w:val="none" w:sz="0" w:space="0" w:color="auto"/>
            <w:bottom w:val="none" w:sz="0" w:space="0" w:color="auto"/>
            <w:right w:val="none" w:sz="0" w:space="0" w:color="auto"/>
          </w:divBdr>
        </w:div>
        <w:div w:id="984551954">
          <w:marLeft w:val="0"/>
          <w:marRight w:val="0"/>
          <w:marTop w:val="360"/>
          <w:marBottom w:val="180"/>
          <w:divBdr>
            <w:top w:val="none" w:sz="0" w:space="0" w:color="auto"/>
            <w:left w:val="none" w:sz="0" w:space="0" w:color="auto"/>
            <w:bottom w:val="none" w:sz="0" w:space="0" w:color="auto"/>
            <w:right w:val="none" w:sz="0" w:space="0" w:color="auto"/>
          </w:divBdr>
        </w:div>
        <w:div w:id="1555240948">
          <w:marLeft w:val="0"/>
          <w:marRight w:val="0"/>
          <w:marTop w:val="180"/>
          <w:marBottom w:val="240"/>
          <w:divBdr>
            <w:top w:val="none" w:sz="0" w:space="0" w:color="auto"/>
            <w:left w:val="none" w:sz="0" w:space="0" w:color="auto"/>
            <w:bottom w:val="none" w:sz="0" w:space="0" w:color="auto"/>
            <w:right w:val="none" w:sz="0" w:space="0" w:color="auto"/>
          </w:divBdr>
        </w:div>
        <w:div w:id="358630470">
          <w:marLeft w:val="0"/>
          <w:marRight w:val="0"/>
          <w:marTop w:val="360"/>
          <w:marBottom w:val="180"/>
          <w:divBdr>
            <w:top w:val="none" w:sz="0" w:space="0" w:color="auto"/>
            <w:left w:val="none" w:sz="0" w:space="0" w:color="auto"/>
            <w:bottom w:val="none" w:sz="0" w:space="0" w:color="auto"/>
            <w:right w:val="none" w:sz="0" w:space="0" w:color="auto"/>
          </w:divBdr>
        </w:div>
        <w:div w:id="1053163847">
          <w:marLeft w:val="0"/>
          <w:marRight w:val="0"/>
          <w:marTop w:val="180"/>
          <w:marBottom w:val="240"/>
          <w:divBdr>
            <w:top w:val="none" w:sz="0" w:space="0" w:color="auto"/>
            <w:left w:val="none" w:sz="0" w:space="0" w:color="auto"/>
            <w:bottom w:val="none" w:sz="0" w:space="0" w:color="auto"/>
            <w:right w:val="none" w:sz="0" w:space="0" w:color="auto"/>
          </w:divBdr>
        </w:div>
      </w:divsChild>
    </w:div>
    <w:div w:id="52437319">
      <w:bodyDiv w:val="1"/>
      <w:marLeft w:val="0"/>
      <w:marRight w:val="0"/>
      <w:marTop w:val="0"/>
      <w:marBottom w:val="0"/>
      <w:divBdr>
        <w:top w:val="none" w:sz="0" w:space="0" w:color="auto"/>
        <w:left w:val="none" w:sz="0" w:space="0" w:color="auto"/>
        <w:bottom w:val="none" w:sz="0" w:space="0" w:color="auto"/>
        <w:right w:val="none" w:sz="0" w:space="0" w:color="auto"/>
      </w:divBdr>
    </w:div>
    <w:div w:id="73862822">
      <w:bodyDiv w:val="1"/>
      <w:marLeft w:val="0"/>
      <w:marRight w:val="0"/>
      <w:marTop w:val="0"/>
      <w:marBottom w:val="0"/>
      <w:divBdr>
        <w:top w:val="none" w:sz="0" w:space="0" w:color="auto"/>
        <w:left w:val="none" w:sz="0" w:space="0" w:color="auto"/>
        <w:bottom w:val="none" w:sz="0" w:space="0" w:color="auto"/>
        <w:right w:val="none" w:sz="0" w:space="0" w:color="auto"/>
      </w:divBdr>
    </w:div>
    <w:div w:id="425343171">
      <w:bodyDiv w:val="1"/>
      <w:marLeft w:val="0"/>
      <w:marRight w:val="0"/>
      <w:marTop w:val="0"/>
      <w:marBottom w:val="0"/>
      <w:divBdr>
        <w:top w:val="none" w:sz="0" w:space="0" w:color="auto"/>
        <w:left w:val="none" w:sz="0" w:space="0" w:color="auto"/>
        <w:bottom w:val="none" w:sz="0" w:space="0" w:color="auto"/>
        <w:right w:val="none" w:sz="0" w:space="0" w:color="auto"/>
      </w:divBdr>
      <w:divsChild>
        <w:div w:id="496270369">
          <w:marLeft w:val="0"/>
          <w:marRight w:val="0"/>
          <w:marTop w:val="360"/>
          <w:marBottom w:val="0"/>
          <w:divBdr>
            <w:top w:val="none" w:sz="0" w:space="0" w:color="auto"/>
            <w:left w:val="none" w:sz="0" w:space="0" w:color="auto"/>
            <w:bottom w:val="none" w:sz="0" w:space="0" w:color="auto"/>
            <w:right w:val="none" w:sz="0" w:space="0" w:color="auto"/>
          </w:divBdr>
          <w:divsChild>
            <w:div w:id="1056047211">
              <w:marLeft w:val="0"/>
              <w:marRight w:val="0"/>
              <w:marTop w:val="0"/>
              <w:marBottom w:val="0"/>
              <w:divBdr>
                <w:top w:val="none" w:sz="0" w:space="0" w:color="auto"/>
                <w:left w:val="none" w:sz="0" w:space="0" w:color="auto"/>
                <w:bottom w:val="none" w:sz="0" w:space="0" w:color="auto"/>
                <w:right w:val="none" w:sz="0" w:space="0" w:color="auto"/>
              </w:divBdr>
              <w:divsChild>
                <w:div w:id="169377149">
                  <w:marLeft w:val="0"/>
                  <w:marRight w:val="0"/>
                  <w:marTop w:val="0"/>
                  <w:marBottom w:val="0"/>
                  <w:divBdr>
                    <w:top w:val="none" w:sz="0" w:space="0" w:color="auto"/>
                    <w:left w:val="none" w:sz="0" w:space="0" w:color="auto"/>
                    <w:bottom w:val="none" w:sz="0" w:space="0" w:color="auto"/>
                    <w:right w:val="none" w:sz="0" w:space="0" w:color="auto"/>
                  </w:divBdr>
                  <w:divsChild>
                    <w:div w:id="97406685">
                      <w:marLeft w:val="0"/>
                      <w:marRight w:val="0"/>
                      <w:marTop w:val="0"/>
                      <w:marBottom w:val="0"/>
                      <w:divBdr>
                        <w:top w:val="none" w:sz="0" w:space="0" w:color="auto"/>
                        <w:left w:val="none" w:sz="0" w:space="0" w:color="auto"/>
                        <w:bottom w:val="none" w:sz="0" w:space="0" w:color="auto"/>
                        <w:right w:val="none" w:sz="0" w:space="0" w:color="auto"/>
                      </w:divBdr>
                      <w:divsChild>
                        <w:div w:id="1123768767">
                          <w:marLeft w:val="0"/>
                          <w:marRight w:val="0"/>
                          <w:marTop w:val="0"/>
                          <w:marBottom w:val="0"/>
                          <w:divBdr>
                            <w:top w:val="none" w:sz="0" w:space="0" w:color="auto"/>
                            <w:left w:val="none" w:sz="0" w:space="0" w:color="auto"/>
                            <w:bottom w:val="none" w:sz="0" w:space="0" w:color="auto"/>
                            <w:right w:val="none" w:sz="0" w:space="0" w:color="auto"/>
                          </w:divBdr>
                          <w:divsChild>
                            <w:div w:id="1319533808">
                              <w:marLeft w:val="0"/>
                              <w:marRight w:val="0"/>
                              <w:marTop w:val="0"/>
                              <w:marBottom w:val="0"/>
                              <w:divBdr>
                                <w:top w:val="none" w:sz="0" w:space="0" w:color="auto"/>
                                <w:left w:val="none" w:sz="0" w:space="0" w:color="auto"/>
                                <w:bottom w:val="none" w:sz="0" w:space="0" w:color="auto"/>
                                <w:right w:val="none" w:sz="0" w:space="0" w:color="auto"/>
                              </w:divBdr>
                              <w:divsChild>
                                <w:div w:id="1183930796">
                                  <w:marLeft w:val="0"/>
                                  <w:marRight w:val="0"/>
                                  <w:marTop w:val="0"/>
                                  <w:marBottom w:val="0"/>
                                  <w:divBdr>
                                    <w:top w:val="none" w:sz="0" w:space="0" w:color="auto"/>
                                    <w:left w:val="none" w:sz="0" w:space="0" w:color="auto"/>
                                    <w:bottom w:val="none" w:sz="0" w:space="0" w:color="auto"/>
                                    <w:right w:val="none" w:sz="0" w:space="0" w:color="auto"/>
                                  </w:divBdr>
                                  <w:divsChild>
                                    <w:div w:id="333650978">
                                      <w:marLeft w:val="0"/>
                                      <w:marRight w:val="0"/>
                                      <w:marTop w:val="0"/>
                                      <w:marBottom w:val="0"/>
                                      <w:divBdr>
                                        <w:top w:val="none" w:sz="0" w:space="0" w:color="auto"/>
                                        <w:left w:val="none" w:sz="0" w:space="0" w:color="auto"/>
                                        <w:bottom w:val="none" w:sz="0" w:space="0" w:color="auto"/>
                                        <w:right w:val="none" w:sz="0" w:space="0" w:color="auto"/>
                                      </w:divBdr>
                                      <w:divsChild>
                                        <w:div w:id="850485842">
                                          <w:marLeft w:val="0"/>
                                          <w:marRight w:val="0"/>
                                          <w:marTop w:val="0"/>
                                          <w:marBottom w:val="0"/>
                                          <w:divBdr>
                                            <w:top w:val="none" w:sz="0" w:space="0" w:color="auto"/>
                                            <w:left w:val="none" w:sz="0" w:space="0" w:color="auto"/>
                                            <w:bottom w:val="none" w:sz="0" w:space="0" w:color="auto"/>
                                            <w:right w:val="none" w:sz="0" w:space="0" w:color="auto"/>
                                          </w:divBdr>
                                          <w:divsChild>
                                            <w:div w:id="1057704999">
                                              <w:marLeft w:val="0"/>
                                              <w:marRight w:val="0"/>
                                              <w:marTop w:val="180"/>
                                              <w:marBottom w:val="240"/>
                                              <w:divBdr>
                                                <w:top w:val="none" w:sz="0" w:space="0" w:color="auto"/>
                                                <w:left w:val="none" w:sz="0" w:space="0" w:color="auto"/>
                                                <w:bottom w:val="none" w:sz="0" w:space="0" w:color="auto"/>
                                                <w:right w:val="none" w:sz="0" w:space="0" w:color="auto"/>
                                              </w:divBdr>
                                            </w:div>
                                            <w:div w:id="433481435">
                                              <w:marLeft w:val="0"/>
                                              <w:marRight w:val="0"/>
                                              <w:marTop w:val="180"/>
                                              <w:marBottom w:val="240"/>
                                              <w:divBdr>
                                                <w:top w:val="none" w:sz="0" w:space="0" w:color="auto"/>
                                                <w:left w:val="none" w:sz="0" w:space="0" w:color="auto"/>
                                                <w:bottom w:val="none" w:sz="0" w:space="0" w:color="auto"/>
                                                <w:right w:val="none" w:sz="0" w:space="0" w:color="auto"/>
                                              </w:divBdr>
                                            </w:div>
                                            <w:div w:id="913734910">
                                              <w:marLeft w:val="0"/>
                                              <w:marRight w:val="0"/>
                                              <w:marTop w:val="180"/>
                                              <w:marBottom w:val="240"/>
                                              <w:divBdr>
                                                <w:top w:val="none" w:sz="0" w:space="0" w:color="auto"/>
                                                <w:left w:val="none" w:sz="0" w:space="0" w:color="auto"/>
                                                <w:bottom w:val="none" w:sz="0" w:space="0" w:color="auto"/>
                                                <w:right w:val="none" w:sz="0" w:space="0" w:color="auto"/>
                                              </w:divBdr>
                                            </w:div>
                                            <w:div w:id="737557663">
                                              <w:marLeft w:val="0"/>
                                              <w:marRight w:val="0"/>
                                              <w:marTop w:val="0"/>
                                              <w:marBottom w:val="0"/>
                                              <w:divBdr>
                                                <w:top w:val="none" w:sz="0" w:space="0" w:color="auto"/>
                                                <w:left w:val="none" w:sz="0" w:space="0" w:color="auto"/>
                                                <w:bottom w:val="none" w:sz="0" w:space="0" w:color="auto"/>
                                                <w:right w:val="none" w:sz="0" w:space="0" w:color="auto"/>
                                              </w:divBdr>
                                              <w:divsChild>
                                                <w:div w:id="222640130">
                                                  <w:marLeft w:val="0"/>
                                                  <w:marRight w:val="0"/>
                                                  <w:marTop w:val="60"/>
                                                  <w:marBottom w:val="0"/>
                                                  <w:divBdr>
                                                    <w:top w:val="none" w:sz="0" w:space="0" w:color="auto"/>
                                                    <w:left w:val="none" w:sz="0" w:space="0" w:color="auto"/>
                                                    <w:bottom w:val="none" w:sz="0" w:space="0" w:color="auto"/>
                                                    <w:right w:val="none" w:sz="0" w:space="0" w:color="auto"/>
                                                  </w:divBdr>
                                                  <w:divsChild>
                                                    <w:div w:id="1442919344">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5314167">
          <w:marLeft w:val="0"/>
          <w:marRight w:val="0"/>
          <w:marTop w:val="360"/>
          <w:marBottom w:val="0"/>
          <w:divBdr>
            <w:top w:val="none" w:sz="0" w:space="0" w:color="auto"/>
            <w:left w:val="none" w:sz="0" w:space="0" w:color="auto"/>
            <w:bottom w:val="none" w:sz="0" w:space="0" w:color="auto"/>
            <w:right w:val="none" w:sz="0" w:space="0" w:color="auto"/>
          </w:divBdr>
          <w:divsChild>
            <w:div w:id="2018580989">
              <w:marLeft w:val="0"/>
              <w:marRight w:val="0"/>
              <w:marTop w:val="0"/>
              <w:marBottom w:val="0"/>
              <w:divBdr>
                <w:top w:val="none" w:sz="0" w:space="0" w:color="auto"/>
                <w:left w:val="none" w:sz="0" w:space="0" w:color="auto"/>
                <w:bottom w:val="none" w:sz="0" w:space="0" w:color="auto"/>
                <w:right w:val="none" w:sz="0" w:space="0" w:color="auto"/>
              </w:divBdr>
              <w:divsChild>
                <w:div w:id="2088337038">
                  <w:marLeft w:val="0"/>
                  <w:marRight w:val="0"/>
                  <w:marTop w:val="0"/>
                  <w:marBottom w:val="0"/>
                  <w:divBdr>
                    <w:top w:val="none" w:sz="0" w:space="0" w:color="auto"/>
                    <w:left w:val="none" w:sz="0" w:space="0" w:color="auto"/>
                    <w:bottom w:val="none" w:sz="0" w:space="0" w:color="auto"/>
                    <w:right w:val="none" w:sz="0" w:space="0" w:color="auto"/>
                  </w:divBdr>
                  <w:divsChild>
                    <w:div w:id="1449619710">
                      <w:marLeft w:val="0"/>
                      <w:marRight w:val="0"/>
                      <w:marTop w:val="0"/>
                      <w:marBottom w:val="0"/>
                      <w:divBdr>
                        <w:top w:val="none" w:sz="0" w:space="0" w:color="auto"/>
                        <w:left w:val="none" w:sz="0" w:space="0" w:color="auto"/>
                        <w:bottom w:val="none" w:sz="0" w:space="0" w:color="auto"/>
                        <w:right w:val="none" w:sz="0" w:space="0" w:color="auto"/>
                      </w:divBdr>
                      <w:divsChild>
                        <w:div w:id="1285236557">
                          <w:marLeft w:val="5734"/>
                          <w:marRight w:val="0"/>
                          <w:marTop w:val="0"/>
                          <w:marBottom w:val="0"/>
                          <w:divBdr>
                            <w:top w:val="none" w:sz="0" w:space="0" w:color="auto"/>
                            <w:left w:val="none" w:sz="0" w:space="0" w:color="auto"/>
                            <w:bottom w:val="none" w:sz="0" w:space="0" w:color="auto"/>
                            <w:right w:val="none" w:sz="0" w:space="0" w:color="auto"/>
                          </w:divBdr>
                          <w:divsChild>
                            <w:div w:id="746532232">
                              <w:marLeft w:val="0"/>
                              <w:marRight w:val="0"/>
                              <w:marTop w:val="0"/>
                              <w:marBottom w:val="0"/>
                              <w:divBdr>
                                <w:top w:val="none" w:sz="0" w:space="0" w:color="auto"/>
                                <w:left w:val="none" w:sz="0" w:space="0" w:color="auto"/>
                                <w:bottom w:val="none" w:sz="0" w:space="0" w:color="auto"/>
                                <w:right w:val="none" w:sz="0" w:space="0" w:color="auto"/>
                              </w:divBdr>
                              <w:divsChild>
                                <w:div w:id="967465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78167">
                  <w:marLeft w:val="0"/>
                  <w:marRight w:val="0"/>
                  <w:marTop w:val="0"/>
                  <w:marBottom w:val="0"/>
                  <w:divBdr>
                    <w:top w:val="none" w:sz="0" w:space="0" w:color="auto"/>
                    <w:left w:val="none" w:sz="0" w:space="0" w:color="auto"/>
                    <w:bottom w:val="none" w:sz="0" w:space="0" w:color="auto"/>
                    <w:right w:val="none" w:sz="0" w:space="0" w:color="auto"/>
                  </w:divBdr>
                  <w:divsChild>
                    <w:div w:id="2097479950">
                      <w:marLeft w:val="0"/>
                      <w:marRight w:val="0"/>
                      <w:marTop w:val="0"/>
                      <w:marBottom w:val="0"/>
                      <w:divBdr>
                        <w:top w:val="none" w:sz="0" w:space="0" w:color="auto"/>
                        <w:left w:val="none" w:sz="0" w:space="0" w:color="auto"/>
                        <w:bottom w:val="none" w:sz="0" w:space="0" w:color="auto"/>
                        <w:right w:val="none" w:sz="0" w:space="0" w:color="auto"/>
                      </w:divBdr>
                      <w:divsChild>
                        <w:div w:id="1351102300">
                          <w:marLeft w:val="0"/>
                          <w:marRight w:val="0"/>
                          <w:marTop w:val="0"/>
                          <w:marBottom w:val="0"/>
                          <w:divBdr>
                            <w:top w:val="none" w:sz="0" w:space="0" w:color="auto"/>
                            <w:left w:val="none" w:sz="0" w:space="0" w:color="auto"/>
                            <w:bottom w:val="none" w:sz="0" w:space="0" w:color="auto"/>
                            <w:right w:val="none" w:sz="0" w:space="0" w:color="auto"/>
                          </w:divBdr>
                          <w:divsChild>
                            <w:div w:id="534078503">
                              <w:marLeft w:val="0"/>
                              <w:marRight w:val="0"/>
                              <w:marTop w:val="0"/>
                              <w:marBottom w:val="0"/>
                              <w:divBdr>
                                <w:top w:val="none" w:sz="0" w:space="0" w:color="auto"/>
                                <w:left w:val="none" w:sz="0" w:space="0" w:color="auto"/>
                                <w:bottom w:val="none" w:sz="0" w:space="0" w:color="auto"/>
                                <w:right w:val="none" w:sz="0" w:space="0" w:color="auto"/>
                              </w:divBdr>
                              <w:divsChild>
                                <w:div w:id="1359045923">
                                  <w:marLeft w:val="0"/>
                                  <w:marRight w:val="0"/>
                                  <w:marTop w:val="0"/>
                                  <w:marBottom w:val="0"/>
                                  <w:divBdr>
                                    <w:top w:val="none" w:sz="0" w:space="0" w:color="auto"/>
                                    <w:left w:val="none" w:sz="0" w:space="0" w:color="auto"/>
                                    <w:bottom w:val="none" w:sz="0" w:space="0" w:color="auto"/>
                                    <w:right w:val="none" w:sz="0" w:space="0" w:color="auto"/>
                                  </w:divBdr>
                                  <w:divsChild>
                                    <w:div w:id="620499337">
                                      <w:marLeft w:val="0"/>
                                      <w:marRight w:val="0"/>
                                      <w:marTop w:val="0"/>
                                      <w:marBottom w:val="0"/>
                                      <w:divBdr>
                                        <w:top w:val="none" w:sz="0" w:space="0" w:color="auto"/>
                                        <w:left w:val="none" w:sz="0" w:space="0" w:color="auto"/>
                                        <w:bottom w:val="none" w:sz="0" w:space="0" w:color="auto"/>
                                        <w:right w:val="none" w:sz="0" w:space="0" w:color="auto"/>
                                      </w:divBdr>
                                      <w:divsChild>
                                        <w:div w:id="592083851">
                                          <w:marLeft w:val="0"/>
                                          <w:marRight w:val="0"/>
                                          <w:marTop w:val="0"/>
                                          <w:marBottom w:val="0"/>
                                          <w:divBdr>
                                            <w:top w:val="none" w:sz="0" w:space="0" w:color="auto"/>
                                            <w:left w:val="none" w:sz="0" w:space="0" w:color="auto"/>
                                            <w:bottom w:val="none" w:sz="0" w:space="0" w:color="auto"/>
                                            <w:right w:val="none" w:sz="0" w:space="0" w:color="auto"/>
                                          </w:divBdr>
                                          <w:divsChild>
                                            <w:div w:id="1185286343">
                                              <w:marLeft w:val="0"/>
                                              <w:marRight w:val="0"/>
                                              <w:marTop w:val="180"/>
                                              <w:marBottom w:val="240"/>
                                              <w:divBdr>
                                                <w:top w:val="none" w:sz="0" w:space="0" w:color="auto"/>
                                                <w:left w:val="none" w:sz="0" w:space="0" w:color="auto"/>
                                                <w:bottom w:val="none" w:sz="0" w:space="0" w:color="auto"/>
                                                <w:right w:val="none" w:sz="0" w:space="0" w:color="auto"/>
                                              </w:divBdr>
                                            </w:div>
                                            <w:div w:id="1031152654">
                                              <w:marLeft w:val="0"/>
                                              <w:marRight w:val="0"/>
                                              <w:marTop w:val="360"/>
                                              <w:marBottom w:val="180"/>
                                              <w:divBdr>
                                                <w:top w:val="none" w:sz="0" w:space="0" w:color="auto"/>
                                                <w:left w:val="none" w:sz="0" w:space="0" w:color="auto"/>
                                                <w:bottom w:val="none" w:sz="0" w:space="0" w:color="auto"/>
                                                <w:right w:val="none" w:sz="0" w:space="0" w:color="auto"/>
                                              </w:divBdr>
                                            </w:div>
                                            <w:div w:id="1379162804">
                                              <w:marLeft w:val="0"/>
                                              <w:marRight w:val="0"/>
                                              <w:marTop w:val="180"/>
                                              <w:marBottom w:val="240"/>
                                              <w:divBdr>
                                                <w:top w:val="none" w:sz="0" w:space="0" w:color="auto"/>
                                                <w:left w:val="none" w:sz="0" w:space="0" w:color="auto"/>
                                                <w:bottom w:val="none" w:sz="0" w:space="0" w:color="auto"/>
                                                <w:right w:val="none" w:sz="0" w:space="0" w:color="auto"/>
                                              </w:divBdr>
                                            </w:div>
                                            <w:div w:id="1615551962">
                                              <w:marLeft w:val="0"/>
                                              <w:marRight w:val="0"/>
                                              <w:marTop w:val="360"/>
                                              <w:marBottom w:val="180"/>
                                              <w:divBdr>
                                                <w:top w:val="none" w:sz="0" w:space="0" w:color="auto"/>
                                                <w:left w:val="none" w:sz="0" w:space="0" w:color="auto"/>
                                                <w:bottom w:val="none" w:sz="0" w:space="0" w:color="auto"/>
                                                <w:right w:val="none" w:sz="0" w:space="0" w:color="auto"/>
                                              </w:divBdr>
                                            </w:div>
                                            <w:div w:id="198668475">
                                              <w:marLeft w:val="0"/>
                                              <w:marRight w:val="0"/>
                                              <w:marTop w:val="180"/>
                                              <w:marBottom w:val="240"/>
                                              <w:divBdr>
                                                <w:top w:val="none" w:sz="0" w:space="0" w:color="auto"/>
                                                <w:left w:val="none" w:sz="0" w:space="0" w:color="auto"/>
                                                <w:bottom w:val="none" w:sz="0" w:space="0" w:color="auto"/>
                                                <w:right w:val="none" w:sz="0" w:space="0" w:color="auto"/>
                                              </w:divBdr>
                                            </w:div>
                                            <w:div w:id="1796368630">
                                              <w:marLeft w:val="0"/>
                                              <w:marRight w:val="0"/>
                                              <w:marTop w:val="360"/>
                                              <w:marBottom w:val="180"/>
                                              <w:divBdr>
                                                <w:top w:val="none" w:sz="0" w:space="0" w:color="auto"/>
                                                <w:left w:val="none" w:sz="0" w:space="0" w:color="auto"/>
                                                <w:bottom w:val="none" w:sz="0" w:space="0" w:color="auto"/>
                                                <w:right w:val="none" w:sz="0" w:space="0" w:color="auto"/>
                                              </w:divBdr>
                                            </w:div>
                                            <w:div w:id="968509647">
                                              <w:marLeft w:val="0"/>
                                              <w:marRight w:val="0"/>
                                              <w:marTop w:val="180"/>
                                              <w:marBottom w:val="240"/>
                                              <w:divBdr>
                                                <w:top w:val="none" w:sz="0" w:space="0" w:color="auto"/>
                                                <w:left w:val="none" w:sz="0" w:space="0" w:color="auto"/>
                                                <w:bottom w:val="none" w:sz="0" w:space="0" w:color="auto"/>
                                                <w:right w:val="none" w:sz="0" w:space="0" w:color="auto"/>
                                              </w:divBdr>
                                            </w:div>
                                            <w:div w:id="960920390">
                                              <w:marLeft w:val="0"/>
                                              <w:marRight w:val="0"/>
                                              <w:marTop w:val="360"/>
                                              <w:marBottom w:val="180"/>
                                              <w:divBdr>
                                                <w:top w:val="none" w:sz="0" w:space="0" w:color="auto"/>
                                                <w:left w:val="none" w:sz="0" w:space="0" w:color="auto"/>
                                                <w:bottom w:val="none" w:sz="0" w:space="0" w:color="auto"/>
                                                <w:right w:val="none" w:sz="0" w:space="0" w:color="auto"/>
                                              </w:divBdr>
                                            </w:div>
                                            <w:div w:id="1372073477">
                                              <w:marLeft w:val="0"/>
                                              <w:marRight w:val="0"/>
                                              <w:marTop w:val="180"/>
                                              <w:marBottom w:val="240"/>
                                              <w:divBdr>
                                                <w:top w:val="none" w:sz="0" w:space="0" w:color="auto"/>
                                                <w:left w:val="none" w:sz="0" w:space="0" w:color="auto"/>
                                                <w:bottom w:val="none" w:sz="0" w:space="0" w:color="auto"/>
                                                <w:right w:val="none" w:sz="0" w:space="0" w:color="auto"/>
                                              </w:divBdr>
                                            </w:div>
                                            <w:div w:id="363361939">
                                              <w:marLeft w:val="0"/>
                                              <w:marRight w:val="0"/>
                                              <w:marTop w:val="360"/>
                                              <w:marBottom w:val="180"/>
                                              <w:divBdr>
                                                <w:top w:val="none" w:sz="0" w:space="0" w:color="auto"/>
                                                <w:left w:val="none" w:sz="0" w:space="0" w:color="auto"/>
                                                <w:bottom w:val="none" w:sz="0" w:space="0" w:color="auto"/>
                                                <w:right w:val="none" w:sz="0" w:space="0" w:color="auto"/>
                                              </w:divBdr>
                                            </w:div>
                                            <w:div w:id="46607842">
                                              <w:marLeft w:val="0"/>
                                              <w:marRight w:val="0"/>
                                              <w:marTop w:val="180"/>
                                              <w:marBottom w:val="240"/>
                                              <w:divBdr>
                                                <w:top w:val="none" w:sz="0" w:space="0" w:color="auto"/>
                                                <w:left w:val="none" w:sz="0" w:space="0" w:color="auto"/>
                                                <w:bottom w:val="none" w:sz="0" w:space="0" w:color="auto"/>
                                                <w:right w:val="none" w:sz="0" w:space="0" w:color="auto"/>
                                              </w:divBdr>
                                            </w:div>
                                            <w:div w:id="1541164665">
                                              <w:marLeft w:val="0"/>
                                              <w:marRight w:val="0"/>
                                              <w:marTop w:val="360"/>
                                              <w:marBottom w:val="180"/>
                                              <w:divBdr>
                                                <w:top w:val="none" w:sz="0" w:space="0" w:color="auto"/>
                                                <w:left w:val="none" w:sz="0" w:space="0" w:color="auto"/>
                                                <w:bottom w:val="none" w:sz="0" w:space="0" w:color="auto"/>
                                                <w:right w:val="none" w:sz="0" w:space="0" w:color="auto"/>
                                              </w:divBdr>
                                            </w:div>
                                            <w:div w:id="638073934">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8592059">
      <w:bodyDiv w:val="1"/>
      <w:marLeft w:val="0"/>
      <w:marRight w:val="0"/>
      <w:marTop w:val="0"/>
      <w:marBottom w:val="0"/>
      <w:divBdr>
        <w:top w:val="none" w:sz="0" w:space="0" w:color="auto"/>
        <w:left w:val="none" w:sz="0" w:space="0" w:color="auto"/>
        <w:bottom w:val="none" w:sz="0" w:space="0" w:color="auto"/>
        <w:right w:val="none" w:sz="0" w:space="0" w:color="auto"/>
      </w:divBdr>
      <w:divsChild>
        <w:div w:id="592200790">
          <w:marLeft w:val="0"/>
          <w:marRight w:val="0"/>
          <w:marTop w:val="180"/>
          <w:marBottom w:val="240"/>
          <w:divBdr>
            <w:top w:val="none" w:sz="0" w:space="0" w:color="auto"/>
            <w:left w:val="none" w:sz="0" w:space="0" w:color="auto"/>
            <w:bottom w:val="none" w:sz="0" w:space="0" w:color="auto"/>
            <w:right w:val="none" w:sz="0" w:space="0" w:color="auto"/>
          </w:divBdr>
        </w:div>
        <w:div w:id="845284542">
          <w:marLeft w:val="0"/>
          <w:marRight w:val="0"/>
          <w:marTop w:val="180"/>
          <w:marBottom w:val="240"/>
          <w:divBdr>
            <w:top w:val="none" w:sz="0" w:space="0" w:color="auto"/>
            <w:left w:val="none" w:sz="0" w:space="0" w:color="auto"/>
            <w:bottom w:val="none" w:sz="0" w:space="0" w:color="auto"/>
            <w:right w:val="none" w:sz="0" w:space="0" w:color="auto"/>
          </w:divBdr>
        </w:div>
        <w:div w:id="2084066340">
          <w:marLeft w:val="0"/>
          <w:marRight w:val="0"/>
          <w:marTop w:val="360"/>
          <w:marBottom w:val="180"/>
          <w:divBdr>
            <w:top w:val="none" w:sz="0" w:space="0" w:color="auto"/>
            <w:left w:val="none" w:sz="0" w:space="0" w:color="auto"/>
            <w:bottom w:val="none" w:sz="0" w:space="0" w:color="auto"/>
            <w:right w:val="none" w:sz="0" w:space="0" w:color="auto"/>
          </w:divBdr>
        </w:div>
        <w:div w:id="60101057">
          <w:marLeft w:val="0"/>
          <w:marRight w:val="0"/>
          <w:marTop w:val="180"/>
          <w:marBottom w:val="240"/>
          <w:divBdr>
            <w:top w:val="none" w:sz="0" w:space="0" w:color="auto"/>
            <w:left w:val="none" w:sz="0" w:space="0" w:color="auto"/>
            <w:bottom w:val="none" w:sz="0" w:space="0" w:color="auto"/>
            <w:right w:val="none" w:sz="0" w:space="0" w:color="auto"/>
          </w:divBdr>
        </w:div>
        <w:div w:id="2114278337">
          <w:marLeft w:val="0"/>
          <w:marRight w:val="0"/>
          <w:marTop w:val="360"/>
          <w:marBottom w:val="180"/>
          <w:divBdr>
            <w:top w:val="none" w:sz="0" w:space="0" w:color="auto"/>
            <w:left w:val="none" w:sz="0" w:space="0" w:color="auto"/>
            <w:bottom w:val="none" w:sz="0" w:space="0" w:color="auto"/>
            <w:right w:val="none" w:sz="0" w:space="0" w:color="auto"/>
          </w:divBdr>
        </w:div>
        <w:div w:id="724720864">
          <w:marLeft w:val="0"/>
          <w:marRight w:val="0"/>
          <w:marTop w:val="180"/>
          <w:marBottom w:val="240"/>
          <w:divBdr>
            <w:top w:val="none" w:sz="0" w:space="0" w:color="auto"/>
            <w:left w:val="none" w:sz="0" w:space="0" w:color="auto"/>
            <w:bottom w:val="none" w:sz="0" w:space="0" w:color="auto"/>
            <w:right w:val="none" w:sz="0" w:space="0" w:color="auto"/>
          </w:divBdr>
        </w:div>
        <w:div w:id="696351377">
          <w:marLeft w:val="0"/>
          <w:marRight w:val="0"/>
          <w:marTop w:val="360"/>
          <w:marBottom w:val="180"/>
          <w:divBdr>
            <w:top w:val="none" w:sz="0" w:space="0" w:color="auto"/>
            <w:left w:val="none" w:sz="0" w:space="0" w:color="auto"/>
            <w:bottom w:val="none" w:sz="0" w:space="0" w:color="auto"/>
            <w:right w:val="none" w:sz="0" w:space="0" w:color="auto"/>
          </w:divBdr>
        </w:div>
        <w:div w:id="1073352172">
          <w:marLeft w:val="0"/>
          <w:marRight w:val="0"/>
          <w:marTop w:val="180"/>
          <w:marBottom w:val="240"/>
          <w:divBdr>
            <w:top w:val="none" w:sz="0" w:space="0" w:color="auto"/>
            <w:left w:val="none" w:sz="0" w:space="0" w:color="auto"/>
            <w:bottom w:val="none" w:sz="0" w:space="0" w:color="auto"/>
            <w:right w:val="none" w:sz="0" w:space="0" w:color="auto"/>
          </w:divBdr>
        </w:div>
        <w:div w:id="1998803339">
          <w:marLeft w:val="0"/>
          <w:marRight w:val="0"/>
          <w:marTop w:val="360"/>
          <w:marBottom w:val="180"/>
          <w:divBdr>
            <w:top w:val="none" w:sz="0" w:space="0" w:color="auto"/>
            <w:left w:val="none" w:sz="0" w:space="0" w:color="auto"/>
            <w:bottom w:val="none" w:sz="0" w:space="0" w:color="auto"/>
            <w:right w:val="none" w:sz="0" w:space="0" w:color="auto"/>
          </w:divBdr>
        </w:div>
        <w:div w:id="1722899275">
          <w:marLeft w:val="0"/>
          <w:marRight w:val="0"/>
          <w:marTop w:val="180"/>
          <w:marBottom w:val="240"/>
          <w:divBdr>
            <w:top w:val="none" w:sz="0" w:space="0" w:color="auto"/>
            <w:left w:val="none" w:sz="0" w:space="0" w:color="auto"/>
            <w:bottom w:val="none" w:sz="0" w:space="0" w:color="auto"/>
            <w:right w:val="none" w:sz="0" w:space="0" w:color="auto"/>
          </w:divBdr>
        </w:div>
        <w:div w:id="405878529">
          <w:marLeft w:val="0"/>
          <w:marRight w:val="0"/>
          <w:marTop w:val="360"/>
          <w:marBottom w:val="180"/>
          <w:divBdr>
            <w:top w:val="none" w:sz="0" w:space="0" w:color="auto"/>
            <w:left w:val="none" w:sz="0" w:space="0" w:color="auto"/>
            <w:bottom w:val="none" w:sz="0" w:space="0" w:color="auto"/>
            <w:right w:val="none" w:sz="0" w:space="0" w:color="auto"/>
          </w:divBdr>
        </w:div>
        <w:div w:id="852457775">
          <w:marLeft w:val="0"/>
          <w:marRight w:val="0"/>
          <w:marTop w:val="180"/>
          <w:marBottom w:val="240"/>
          <w:divBdr>
            <w:top w:val="none" w:sz="0" w:space="0" w:color="auto"/>
            <w:left w:val="none" w:sz="0" w:space="0" w:color="auto"/>
            <w:bottom w:val="none" w:sz="0" w:space="0" w:color="auto"/>
            <w:right w:val="none" w:sz="0" w:space="0" w:color="auto"/>
          </w:divBdr>
        </w:div>
      </w:divsChild>
    </w:div>
    <w:div w:id="1043291452">
      <w:bodyDiv w:val="1"/>
      <w:marLeft w:val="0"/>
      <w:marRight w:val="0"/>
      <w:marTop w:val="0"/>
      <w:marBottom w:val="0"/>
      <w:divBdr>
        <w:top w:val="none" w:sz="0" w:space="0" w:color="auto"/>
        <w:left w:val="none" w:sz="0" w:space="0" w:color="auto"/>
        <w:bottom w:val="none" w:sz="0" w:space="0" w:color="auto"/>
        <w:right w:val="none" w:sz="0" w:space="0" w:color="auto"/>
      </w:divBdr>
    </w:div>
    <w:div w:id="1064985979">
      <w:bodyDiv w:val="1"/>
      <w:marLeft w:val="0"/>
      <w:marRight w:val="0"/>
      <w:marTop w:val="0"/>
      <w:marBottom w:val="0"/>
      <w:divBdr>
        <w:top w:val="none" w:sz="0" w:space="0" w:color="auto"/>
        <w:left w:val="none" w:sz="0" w:space="0" w:color="auto"/>
        <w:bottom w:val="none" w:sz="0" w:space="0" w:color="auto"/>
        <w:right w:val="none" w:sz="0" w:space="0" w:color="auto"/>
      </w:divBdr>
      <w:divsChild>
        <w:div w:id="110633595">
          <w:marLeft w:val="0"/>
          <w:marRight w:val="0"/>
          <w:marTop w:val="180"/>
          <w:marBottom w:val="240"/>
          <w:divBdr>
            <w:top w:val="none" w:sz="0" w:space="0" w:color="auto"/>
            <w:left w:val="none" w:sz="0" w:space="0" w:color="auto"/>
            <w:bottom w:val="none" w:sz="0" w:space="0" w:color="auto"/>
            <w:right w:val="none" w:sz="0" w:space="0" w:color="auto"/>
          </w:divBdr>
        </w:div>
        <w:div w:id="1352148826">
          <w:marLeft w:val="0"/>
          <w:marRight w:val="0"/>
          <w:marTop w:val="360"/>
          <w:marBottom w:val="180"/>
          <w:divBdr>
            <w:top w:val="none" w:sz="0" w:space="0" w:color="auto"/>
            <w:left w:val="none" w:sz="0" w:space="0" w:color="auto"/>
            <w:bottom w:val="none" w:sz="0" w:space="0" w:color="auto"/>
            <w:right w:val="none" w:sz="0" w:space="0" w:color="auto"/>
          </w:divBdr>
        </w:div>
        <w:div w:id="943922041">
          <w:marLeft w:val="0"/>
          <w:marRight w:val="0"/>
          <w:marTop w:val="180"/>
          <w:marBottom w:val="240"/>
          <w:divBdr>
            <w:top w:val="none" w:sz="0" w:space="0" w:color="auto"/>
            <w:left w:val="none" w:sz="0" w:space="0" w:color="auto"/>
            <w:bottom w:val="none" w:sz="0" w:space="0" w:color="auto"/>
            <w:right w:val="none" w:sz="0" w:space="0" w:color="auto"/>
          </w:divBdr>
        </w:div>
        <w:div w:id="262155202">
          <w:marLeft w:val="0"/>
          <w:marRight w:val="0"/>
          <w:marTop w:val="360"/>
          <w:marBottom w:val="180"/>
          <w:divBdr>
            <w:top w:val="none" w:sz="0" w:space="0" w:color="auto"/>
            <w:left w:val="none" w:sz="0" w:space="0" w:color="auto"/>
            <w:bottom w:val="none" w:sz="0" w:space="0" w:color="auto"/>
            <w:right w:val="none" w:sz="0" w:space="0" w:color="auto"/>
          </w:divBdr>
        </w:div>
        <w:div w:id="893388301">
          <w:marLeft w:val="0"/>
          <w:marRight w:val="0"/>
          <w:marTop w:val="180"/>
          <w:marBottom w:val="240"/>
          <w:divBdr>
            <w:top w:val="none" w:sz="0" w:space="0" w:color="auto"/>
            <w:left w:val="none" w:sz="0" w:space="0" w:color="auto"/>
            <w:bottom w:val="none" w:sz="0" w:space="0" w:color="auto"/>
            <w:right w:val="none" w:sz="0" w:space="0" w:color="auto"/>
          </w:divBdr>
        </w:div>
        <w:div w:id="355278976">
          <w:marLeft w:val="0"/>
          <w:marRight w:val="0"/>
          <w:marTop w:val="360"/>
          <w:marBottom w:val="180"/>
          <w:divBdr>
            <w:top w:val="none" w:sz="0" w:space="0" w:color="auto"/>
            <w:left w:val="none" w:sz="0" w:space="0" w:color="auto"/>
            <w:bottom w:val="none" w:sz="0" w:space="0" w:color="auto"/>
            <w:right w:val="none" w:sz="0" w:space="0" w:color="auto"/>
          </w:divBdr>
        </w:div>
        <w:div w:id="1532647270">
          <w:marLeft w:val="0"/>
          <w:marRight w:val="0"/>
          <w:marTop w:val="180"/>
          <w:marBottom w:val="240"/>
          <w:divBdr>
            <w:top w:val="none" w:sz="0" w:space="0" w:color="auto"/>
            <w:left w:val="none" w:sz="0" w:space="0" w:color="auto"/>
            <w:bottom w:val="none" w:sz="0" w:space="0" w:color="auto"/>
            <w:right w:val="none" w:sz="0" w:space="0" w:color="auto"/>
          </w:divBdr>
        </w:div>
        <w:div w:id="2078939343">
          <w:marLeft w:val="0"/>
          <w:marRight w:val="0"/>
          <w:marTop w:val="360"/>
          <w:marBottom w:val="180"/>
          <w:divBdr>
            <w:top w:val="none" w:sz="0" w:space="0" w:color="auto"/>
            <w:left w:val="none" w:sz="0" w:space="0" w:color="auto"/>
            <w:bottom w:val="none" w:sz="0" w:space="0" w:color="auto"/>
            <w:right w:val="none" w:sz="0" w:space="0" w:color="auto"/>
          </w:divBdr>
        </w:div>
        <w:div w:id="980428651">
          <w:marLeft w:val="0"/>
          <w:marRight w:val="0"/>
          <w:marTop w:val="180"/>
          <w:marBottom w:val="240"/>
          <w:divBdr>
            <w:top w:val="none" w:sz="0" w:space="0" w:color="auto"/>
            <w:left w:val="none" w:sz="0" w:space="0" w:color="auto"/>
            <w:bottom w:val="none" w:sz="0" w:space="0" w:color="auto"/>
            <w:right w:val="none" w:sz="0" w:space="0" w:color="auto"/>
          </w:divBdr>
        </w:div>
        <w:div w:id="423066711">
          <w:marLeft w:val="0"/>
          <w:marRight w:val="0"/>
          <w:marTop w:val="360"/>
          <w:marBottom w:val="180"/>
          <w:divBdr>
            <w:top w:val="none" w:sz="0" w:space="0" w:color="auto"/>
            <w:left w:val="none" w:sz="0" w:space="0" w:color="auto"/>
            <w:bottom w:val="none" w:sz="0" w:space="0" w:color="auto"/>
            <w:right w:val="none" w:sz="0" w:space="0" w:color="auto"/>
          </w:divBdr>
        </w:div>
        <w:div w:id="1158111851">
          <w:marLeft w:val="0"/>
          <w:marRight w:val="0"/>
          <w:marTop w:val="180"/>
          <w:marBottom w:val="240"/>
          <w:divBdr>
            <w:top w:val="none" w:sz="0" w:space="0" w:color="auto"/>
            <w:left w:val="none" w:sz="0" w:space="0" w:color="auto"/>
            <w:bottom w:val="none" w:sz="0" w:space="0" w:color="auto"/>
            <w:right w:val="none" w:sz="0" w:space="0" w:color="auto"/>
          </w:divBdr>
        </w:div>
      </w:divsChild>
    </w:div>
    <w:div w:id="1140733119">
      <w:bodyDiv w:val="1"/>
      <w:marLeft w:val="0"/>
      <w:marRight w:val="0"/>
      <w:marTop w:val="0"/>
      <w:marBottom w:val="0"/>
      <w:divBdr>
        <w:top w:val="none" w:sz="0" w:space="0" w:color="auto"/>
        <w:left w:val="none" w:sz="0" w:space="0" w:color="auto"/>
        <w:bottom w:val="none" w:sz="0" w:space="0" w:color="auto"/>
        <w:right w:val="none" w:sz="0" w:space="0" w:color="auto"/>
      </w:divBdr>
      <w:divsChild>
        <w:div w:id="1428771702">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05197500">
              <w:marLeft w:val="0"/>
              <w:marRight w:val="0"/>
              <w:marTop w:val="0"/>
              <w:marBottom w:val="0"/>
              <w:divBdr>
                <w:top w:val="none" w:sz="0" w:space="0" w:color="auto"/>
                <w:left w:val="none" w:sz="0" w:space="0" w:color="auto"/>
                <w:bottom w:val="none" w:sz="0" w:space="0" w:color="auto"/>
                <w:right w:val="none" w:sz="0" w:space="0" w:color="auto"/>
              </w:divBdr>
            </w:div>
          </w:divsChild>
        </w:div>
        <w:div w:id="1438522375">
          <w:marLeft w:val="0"/>
          <w:marRight w:val="0"/>
          <w:marTop w:val="0"/>
          <w:marBottom w:val="0"/>
          <w:divBdr>
            <w:top w:val="none" w:sz="0" w:space="0" w:color="auto"/>
            <w:left w:val="none" w:sz="0" w:space="0" w:color="auto"/>
            <w:bottom w:val="none" w:sz="0" w:space="0" w:color="auto"/>
            <w:right w:val="none" w:sz="0" w:space="0" w:color="auto"/>
          </w:divBdr>
          <w:divsChild>
            <w:div w:id="1822111883">
              <w:marLeft w:val="0"/>
              <w:marRight w:val="0"/>
              <w:marTop w:val="60"/>
              <w:marBottom w:val="0"/>
              <w:divBdr>
                <w:top w:val="none" w:sz="0" w:space="0" w:color="auto"/>
                <w:left w:val="none" w:sz="0" w:space="0" w:color="auto"/>
                <w:bottom w:val="none" w:sz="0" w:space="0" w:color="auto"/>
                <w:right w:val="none" w:sz="0" w:space="0" w:color="auto"/>
              </w:divBdr>
              <w:divsChild>
                <w:div w:id="1950314216">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 w:id="1162508520">
      <w:bodyDiv w:val="1"/>
      <w:marLeft w:val="0"/>
      <w:marRight w:val="0"/>
      <w:marTop w:val="0"/>
      <w:marBottom w:val="0"/>
      <w:divBdr>
        <w:top w:val="none" w:sz="0" w:space="0" w:color="auto"/>
        <w:left w:val="none" w:sz="0" w:space="0" w:color="auto"/>
        <w:bottom w:val="none" w:sz="0" w:space="0" w:color="auto"/>
        <w:right w:val="none" w:sz="0" w:space="0" w:color="auto"/>
      </w:divBdr>
      <w:divsChild>
        <w:div w:id="1649901252">
          <w:marLeft w:val="0"/>
          <w:marRight w:val="0"/>
          <w:marTop w:val="180"/>
          <w:marBottom w:val="240"/>
          <w:divBdr>
            <w:top w:val="none" w:sz="0" w:space="0" w:color="auto"/>
            <w:left w:val="none" w:sz="0" w:space="0" w:color="auto"/>
            <w:bottom w:val="none" w:sz="0" w:space="0" w:color="auto"/>
            <w:right w:val="none" w:sz="0" w:space="0" w:color="auto"/>
          </w:divBdr>
        </w:div>
        <w:div w:id="1320889779">
          <w:marLeft w:val="0"/>
          <w:marRight w:val="0"/>
          <w:marTop w:val="180"/>
          <w:marBottom w:val="240"/>
          <w:divBdr>
            <w:top w:val="none" w:sz="0" w:space="0" w:color="auto"/>
            <w:left w:val="none" w:sz="0" w:space="0" w:color="auto"/>
            <w:bottom w:val="none" w:sz="0" w:space="0" w:color="auto"/>
            <w:right w:val="none" w:sz="0" w:space="0" w:color="auto"/>
          </w:divBdr>
        </w:div>
        <w:div w:id="1023942445">
          <w:marLeft w:val="0"/>
          <w:marRight w:val="0"/>
          <w:marTop w:val="360"/>
          <w:marBottom w:val="180"/>
          <w:divBdr>
            <w:top w:val="none" w:sz="0" w:space="0" w:color="auto"/>
            <w:left w:val="none" w:sz="0" w:space="0" w:color="auto"/>
            <w:bottom w:val="none" w:sz="0" w:space="0" w:color="auto"/>
            <w:right w:val="none" w:sz="0" w:space="0" w:color="auto"/>
          </w:divBdr>
        </w:div>
        <w:div w:id="275841663">
          <w:marLeft w:val="0"/>
          <w:marRight w:val="0"/>
          <w:marTop w:val="180"/>
          <w:marBottom w:val="240"/>
          <w:divBdr>
            <w:top w:val="none" w:sz="0" w:space="0" w:color="auto"/>
            <w:left w:val="none" w:sz="0" w:space="0" w:color="auto"/>
            <w:bottom w:val="none" w:sz="0" w:space="0" w:color="auto"/>
            <w:right w:val="none" w:sz="0" w:space="0" w:color="auto"/>
          </w:divBdr>
        </w:div>
        <w:div w:id="1204371671">
          <w:marLeft w:val="0"/>
          <w:marRight w:val="0"/>
          <w:marTop w:val="360"/>
          <w:marBottom w:val="180"/>
          <w:divBdr>
            <w:top w:val="none" w:sz="0" w:space="0" w:color="auto"/>
            <w:left w:val="none" w:sz="0" w:space="0" w:color="auto"/>
            <w:bottom w:val="none" w:sz="0" w:space="0" w:color="auto"/>
            <w:right w:val="none" w:sz="0" w:space="0" w:color="auto"/>
          </w:divBdr>
        </w:div>
        <w:div w:id="177936700">
          <w:marLeft w:val="0"/>
          <w:marRight w:val="0"/>
          <w:marTop w:val="180"/>
          <w:marBottom w:val="240"/>
          <w:divBdr>
            <w:top w:val="none" w:sz="0" w:space="0" w:color="auto"/>
            <w:left w:val="none" w:sz="0" w:space="0" w:color="auto"/>
            <w:bottom w:val="none" w:sz="0" w:space="0" w:color="auto"/>
            <w:right w:val="none" w:sz="0" w:space="0" w:color="auto"/>
          </w:divBdr>
        </w:div>
        <w:div w:id="635650310">
          <w:marLeft w:val="0"/>
          <w:marRight w:val="0"/>
          <w:marTop w:val="360"/>
          <w:marBottom w:val="180"/>
          <w:divBdr>
            <w:top w:val="none" w:sz="0" w:space="0" w:color="auto"/>
            <w:left w:val="none" w:sz="0" w:space="0" w:color="auto"/>
            <w:bottom w:val="none" w:sz="0" w:space="0" w:color="auto"/>
            <w:right w:val="none" w:sz="0" w:space="0" w:color="auto"/>
          </w:divBdr>
        </w:div>
        <w:div w:id="673800233">
          <w:marLeft w:val="0"/>
          <w:marRight w:val="0"/>
          <w:marTop w:val="180"/>
          <w:marBottom w:val="240"/>
          <w:divBdr>
            <w:top w:val="none" w:sz="0" w:space="0" w:color="auto"/>
            <w:left w:val="none" w:sz="0" w:space="0" w:color="auto"/>
            <w:bottom w:val="none" w:sz="0" w:space="0" w:color="auto"/>
            <w:right w:val="none" w:sz="0" w:space="0" w:color="auto"/>
          </w:divBdr>
        </w:div>
        <w:div w:id="563834344">
          <w:marLeft w:val="0"/>
          <w:marRight w:val="0"/>
          <w:marTop w:val="360"/>
          <w:marBottom w:val="180"/>
          <w:divBdr>
            <w:top w:val="none" w:sz="0" w:space="0" w:color="auto"/>
            <w:left w:val="none" w:sz="0" w:space="0" w:color="auto"/>
            <w:bottom w:val="none" w:sz="0" w:space="0" w:color="auto"/>
            <w:right w:val="none" w:sz="0" w:space="0" w:color="auto"/>
          </w:divBdr>
        </w:div>
        <w:div w:id="241717609">
          <w:marLeft w:val="0"/>
          <w:marRight w:val="0"/>
          <w:marTop w:val="180"/>
          <w:marBottom w:val="240"/>
          <w:divBdr>
            <w:top w:val="none" w:sz="0" w:space="0" w:color="auto"/>
            <w:left w:val="none" w:sz="0" w:space="0" w:color="auto"/>
            <w:bottom w:val="none" w:sz="0" w:space="0" w:color="auto"/>
            <w:right w:val="none" w:sz="0" w:space="0" w:color="auto"/>
          </w:divBdr>
        </w:div>
        <w:div w:id="1168397523">
          <w:marLeft w:val="0"/>
          <w:marRight w:val="0"/>
          <w:marTop w:val="360"/>
          <w:marBottom w:val="180"/>
          <w:divBdr>
            <w:top w:val="none" w:sz="0" w:space="0" w:color="auto"/>
            <w:left w:val="none" w:sz="0" w:space="0" w:color="auto"/>
            <w:bottom w:val="none" w:sz="0" w:space="0" w:color="auto"/>
            <w:right w:val="none" w:sz="0" w:space="0" w:color="auto"/>
          </w:divBdr>
        </w:div>
        <w:div w:id="820269132">
          <w:marLeft w:val="0"/>
          <w:marRight w:val="0"/>
          <w:marTop w:val="180"/>
          <w:marBottom w:val="240"/>
          <w:divBdr>
            <w:top w:val="none" w:sz="0" w:space="0" w:color="auto"/>
            <w:left w:val="none" w:sz="0" w:space="0" w:color="auto"/>
            <w:bottom w:val="none" w:sz="0" w:space="0" w:color="auto"/>
            <w:right w:val="none" w:sz="0" w:space="0" w:color="auto"/>
          </w:divBdr>
        </w:div>
        <w:div w:id="287056967">
          <w:marLeft w:val="0"/>
          <w:marRight w:val="0"/>
          <w:marTop w:val="180"/>
          <w:marBottom w:val="240"/>
          <w:divBdr>
            <w:top w:val="none" w:sz="0" w:space="0" w:color="auto"/>
            <w:left w:val="none" w:sz="0" w:space="0" w:color="auto"/>
            <w:bottom w:val="none" w:sz="0" w:space="0" w:color="auto"/>
            <w:right w:val="none" w:sz="0" w:space="0" w:color="auto"/>
          </w:divBdr>
        </w:div>
      </w:divsChild>
    </w:div>
    <w:div w:id="1203053383">
      <w:bodyDiv w:val="1"/>
      <w:marLeft w:val="0"/>
      <w:marRight w:val="0"/>
      <w:marTop w:val="0"/>
      <w:marBottom w:val="0"/>
      <w:divBdr>
        <w:top w:val="none" w:sz="0" w:space="0" w:color="auto"/>
        <w:left w:val="none" w:sz="0" w:space="0" w:color="auto"/>
        <w:bottom w:val="none" w:sz="0" w:space="0" w:color="auto"/>
        <w:right w:val="none" w:sz="0" w:space="0" w:color="auto"/>
      </w:divBdr>
    </w:div>
    <w:div w:id="1284382162">
      <w:bodyDiv w:val="1"/>
      <w:marLeft w:val="0"/>
      <w:marRight w:val="0"/>
      <w:marTop w:val="0"/>
      <w:marBottom w:val="0"/>
      <w:divBdr>
        <w:top w:val="none" w:sz="0" w:space="0" w:color="auto"/>
        <w:left w:val="none" w:sz="0" w:space="0" w:color="auto"/>
        <w:bottom w:val="none" w:sz="0" w:space="0" w:color="auto"/>
        <w:right w:val="none" w:sz="0" w:space="0" w:color="auto"/>
      </w:divBdr>
      <w:divsChild>
        <w:div w:id="1817068284">
          <w:marLeft w:val="0"/>
          <w:marRight w:val="0"/>
          <w:marTop w:val="180"/>
          <w:marBottom w:val="240"/>
          <w:divBdr>
            <w:top w:val="none" w:sz="0" w:space="0" w:color="auto"/>
            <w:left w:val="none" w:sz="0" w:space="0" w:color="auto"/>
            <w:bottom w:val="none" w:sz="0" w:space="0" w:color="auto"/>
            <w:right w:val="none" w:sz="0" w:space="0" w:color="auto"/>
          </w:divBdr>
        </w:div>
        <w:div w:id="1180243454">
          <w:marLeft w:val="0"/>
          <w:marRight w:val="0"/>
          <w:marTop w:val="180"/>
          <w:marBottom w:val="240"/>
          <w:divBdr>
            <w:top w:val="none" w:sz="0" w:space="0" w:color="auto"/>
            <w:left w:val="none" w:sz="0" w:space="0" w:color="auto"/>
            <w:bottom w:val="none" w:sz="0" w:space="0" w:color="auto"/>
            <w:right w:val="none" w:sz="0" w:space="0" w:color="auto"/>
          </w:divBdr>
        </w:div>
      </w:divsChild>
    </w:div>
    <w:div w:id="1306739353">
      <w:bodyDiv w:val="1"/>
      <w:marLeft w:val="0"/>
      <w:marRight w:val="0"/>
      <w:marTop w:val="0"/>
      <w:marBottom w:val="0"/>
      <w:divBdr>
        <w:top w:val="none" w:sz="0" w:space="0" w:color="auto"/>
        <w:left w:val="none" w:sz="0" w:space="0" w:color="auto"/>
        <w:bottom w:val="none" w:sz="0" w:space="0" w:color="auto"/>
        <w:right w:val="none" w:sz="0" w:space="0" w:color="auto"/>
      </w:divBdr>
      <w:divsChild>
        <w:div w:id="151916549">
          <w:marLeft w:val="0"/>
          <w:marRight w:val="0"/>
          <w:marTop w:val="180"/>
          <w:marBottom w:val="240"/>
          <w:divBdr>
            <w:top w:val="none" w:sz="0" w:space="0" w:color="auto"/>
            <w:left w:val="none" w:sz="0" w:space="0" w:color="auto"/>
            <w:bottom w:val="none" w:sz="0" w:space="0" w:color="auto"/>
            <w:right w:val="none" w:sz="0" w:space="0" w:color="auto"/>
          </w:divBdr>
        </w:div>
        <w:div w:id="795027121">
          <w:marLeft w:val="0"/>
          <w:marRight w:val="0"/>
          <w:marTop w:val="180"/>
          <w:marBottom w:val="240"/>
          <w:divBdr>
            <w:top w:val="none" w:sz="0" w:space="0" w:color="auto"/>
            <w:left w:val="none" w:sz="0" w:space="0" w:color="auto"/>
            <w:bottom w:val="none" w:sz="0" w:space="0" w:color="auto"/>
            <w:right w:val="none" w:sz="0" w:space="0" w:color="auto"/>
          </w:divBdr>
        </w:div>
        <w:div w:id="1595430348">
          <w:marLeft w:val="0"/>
          <w:marRight w:val="0"/>
          <w:marTop w:val="360"/>
          <w:marBottom w:val="180"/>
          <w:divBdr>
            <w:top w:val="none" w:sz="0" w:space="0" w:color="auto"/>
            <w:left w:val="none" w:sz="0" w:space="0" w:color="auto"/>
            <w:bottom w:val="none" w:sz="0" w:space="0" w:color="auto"/>
            <w:right w:val="none" w:sz="0" w:space="0" w:color="auto"/>
          </w:divBdr>
        </w:div>
        <w:div w:id="275796634">
          <w:marLeft w:val="0"/>
          <w:marRight w:val="0"/>
          <w:marTop w:val="180"/>
          <w:marBottom w:val="240"/>
          <w:divBdr>
            <w:top w:val="none" w:sz="0" w:space="0" w:color="auto"/>
            <w:left w:val="none" w:sz="0" w:space="0" w:color="auto"/>
            <w:bottom w:val="none" w:sz="0" w:space="0" w:color="auto"/>
            <w:right w:val="none" w:sz="0" w:space="0" w:color="auto"/>
          </w:divBdr>
        </w:div>
        <w:div w:id="2002005989">
          <w:marLeft w:val="0"/>
          <w:marRight w:val="0"/>
          <w:marTop w:val="360"/>
          <w:marBottom w:val="180"/>
          <w:divBdr>
            <w:top w:val="none" w:sz="0" w:space="0" w:color="auto"/>
            <w:left w:val="none" w:sz="0" w:space="0" w:color="auto"/>
            <w:bottom w:val="none" w:sz="0" w:space="0" w:color="auto"/>
            <w:right w:val="none" w:sz="0" w:space="0" w:color="auto"/>
          </w:divBdr>
        </w:div>
        <w:div w:id="212231663">
          <w:marLeft w:val="0"/>
          <w:marRight w:val="0"/>
          <w:marTop w:val="180"/>
          <w:marBottom w:val="240"/>
          <w:divBdr>
            <w:top w:val="none" w:sz="0" w:space="0" w:color="auto"/>
            <w:left w:val="none" w:sz="0" w:space="0" w:color="auto"/>
            <w:bottom w:val="none" w:sz="0" w:space="0" w:color="auto"/>
            <w:right w:val="none" w:sz="0" w:space="0" w:color="auto"/>
          </w:divBdr>
        </w:div>
        <w:div w:id="1502039407">
          <w:marLeft w:val="0"/>
          <w:marRight w:val="0"/>
          <w:marTop w:val="360"/>
          <w:marBottom w:val="180"/>
          <w:divBdr>
            <w:top w:val="none" w:sz="0" w:space="0" w:color="auto"/>
            <w:left w:val="none" w:sz="0" w:space="0" w:color="auto"/>
            <w:bottom w:val="none" w:sz="0" w:space="0" w:color="auto"/>
            <w:right w:val="none" w:sz="0" w:space="0" w:color="auto"/>
          </w:divBdr>
        </w:div>
        <w:div w:id="805396089">
          <w:marLeft w:val="0"/>
          <w:marRight w:val="0"/>
          <w:marTop w:val="180"/>
          <w:marBottom w:val="240"/>
          <w:divBdr>
            <w:top w:val="none" w:sz="0" w:space="0" w:color="auto"/>
            <w:left w:val="none" w:sz="0" w:space="0" w:color="auto"/>
            <w:bottom w:val="none" w:sz="0" w:space="0" w:color="auto"/>
            <w:right w:val="none" w:sz="0" w:space="0" w:color="auto"/>
          </w:divBdr>
        </w:div>
        <w:div w:id="2014263474">
          <w:marLeft w:val="0"/>
          <w:marRight w:val="0"/>
          <w:marTop w:val="360"/>
          <w:marBottom w:val="180"/>
          <w:divBdr>
            <w:top w:val="none" w:sz="0" w:space="0" w:color="auto"/>
            <w:left w:val="none" w:sz="0" w:space="0" w:color="auto"/>
            <w:bottom w:val="none" w:sz="0" w:space="0" w:color="auto"/>
            <w:right w:val="none" w:sz="0" w:space="0" w:color="auto"/>
          </w:divBdr>
        </w:div>
      </w:divsChild>
    </w:div>
    <w:div w:id="1318998547">
      <w:bodyDiv w:val="1"/>
      <w:marLeft w:val="0"/>
      <w:marRight w:val="0"/>
      <w:marTop w:val="0"/>
      <w:marBottom w:val="0"/>
      <w:divBdr>
        <w:top w:val="none" w:sz="0" w:space="0" w:color="auto"/>
        <w:left w:val="none" w:sz="0" w:space="0" w:color="auto"/>
        <w:bottom w:val="none" w:sz="0" w:space="0" w:color="auto"/>
        <w:right w:val="none" w:sz="0" w:space="0" w:color="auto"/>
      </w:divBdr>
      <w:divsChild>
        <w:div w:id="981999966">
          <w:marLeft w:val="0"/>
          <w:marRight w:val="0"/>
          <w:marTop w:val="180"/>
          <w:marBottom w:val="240"/>
          <w:divBdr>
            <w:top w:val="none" w:sz="0" w:space="0" w:color="auto"/>
            <w:left w:val="none" w:sz="0" w:space="0" w:color="auto"/>
            <w:bottom w:val="none" w:sz="0" w:space="0" w:color="auto"/>
            <w:right w:val="none" w:sz="0" w:space="0" w:color="auto"/>
          </w:divBdr>
        </w:div>
        <w:div w:id="707684386">
          <w:marLeft w:val="0"/>
          <w:marRight w:val="0"/>
          <w:marTop w:val="360"/>
          <w:marBottom w:val="180"/>
          <w:divBdr>
            <w:top w:val="none" w:sz="0" w:space="0" w:color="auto"/>
            <w:left w:val="none" w:sz="0" w:space="0" w:color="auto"/>
            <w:bottom w:val="none" w:sz="0" w:space="0" w:color="auto"/>
            <w:right w:val="none" w:sz="0" w:space="0" w:color="auto"/>
          </w:divBdr>
        </w:div>
        <w:div w:id="184565205">
          <w:marLeft w:val="0"/>
          <w:marRight w:val="0"/>
          <w:marTop w:val="360"/>
          <w:marBottom w:val="180"/>
          <w:divBdr>
            <w:top w:val="none" w:sz="0" w:space="0" w:color="auto"/>
            <w:left w:val="none" w:sz="0" w:space="0" w:color="auto"/>
            <w:bottom w:val="none" w:sz="0" w:space="0" w:color="auto"/>
            <w:right w:val="none" w:sz="0" w:space="0" w:color="auto"/>
          </w:divBdr>
        </w:div>
        <w:div w:id="836655175">
          <w:marLeft w:val="0"/>
          <w:marRight w:val="0"/>
          <w:marTop w:val="180"/>
          <w:marBottom w:val="240"/>
          <w:divBdr>
            <w:top w:val="none" w:sz="0" w:space="0" w:color="auto"/>
            <w:left w:val="none" w:sz="0" w:space="0" w:color="auto"/>
            <w:bottom w:val="none" w:sz="0" w:space="0" w:color="auto"/>
            <w:right w:val="none" w:sz="0" w:space="0" w:color="auto"/>
          </w:divBdr>
        </w:div>
        <w:div w:id="1818262358">
          <w:marLeft w:val="0"/>
          <w:marRight w:val="0"/>
          <w:marTop w:val="360"/>
          <w:marBottom w:val="180"/>
          <w:divBdr>
            <w:top w:val="none" w:sz="0" w:space="0" w:color="auto"/>
            <w:left w:val="none" w:sz="0" w:space="0" w:color="auto"/>
            <w:bottom w:val="none" w:sz="0" w:space="0" w:color="auto"/>
            <w:right w:val="none" w:sz="0" w:space="0" w:color="auto"/>
          </w:divBdr>
        </w:div>
        <w:div w:id="940648683">
          <w:marLeft w:val="0"/>
          <w:marRight w:val="0"/>
          <w:marTop w:val="180"/>
          <w:marBottom w:val="240"/>
          <w:divBdr>
            <w:top w:val="none" w:sz="0" w:space="0" w:color="auto"/>
            <w:left w:val="none" w:sz="0" w:space="0" w:color="auto"/>
            <w:bottom w:val="none" w:sz="0" w:space="0" w:color="auto"/>
            <w:right w:val="none" w:sz="0" w:space="0" w:color="auto"/>
          </w:divBdr>
        </w:div>
      </w:divsChild>
    </w:div>
    <w:div w:id="1828814367">
      <w:bodyDiv w:val="1"/>
      <w:marLeft w:val="0"/>
      <w:marRight w:val="0"/>
      <w:marTop w:val="0"/>
      <w:marBottom w:val="0"/>
      <w:divBdr>
        <w:top w:val="none" w:sz="0" w:space="0" w:color="auto"/>
        <w:left w:val="none" w:sz="0" w:space="0" w:color="auto"/>
        <w:bottom w:val="none" w:sz="0" w:space="0" w:color="auto"/>
        <w:right w:val="none" w:sz="0" w:space="0" w:color="auto"/>
      </w:divBdr>
      <w:divsChild>
        <w:div w:id="601842786">
          <w:marLeft w:val="0"/>
          <w:marRight w:val="0"/>
          <w:marTop w:val="180"/>
          <w:marBottom w:val="240"/>
          <w:divBdr>
            <w:top w:val="none" w:sz="0" w:space="0" w:color="auto"/>
            <w:left w:val="none" w:sz="0" w:space="0" w:color="auto"/>
            <w:bottom w:val="none" w:sz="0" w:space="0" w:color="auto"/>
            <w:right w:val="none" w:sz="0" w:space="0" w:color="auto"/>
          </w:divBdr>
        </w:div>
        <w:div w:id="962273254">
          <w:marLeft w:val="0"/>
          <w:marRight w:val="0"/>
          <w:marTop w:val="180"/>
          <w:marBottom w:val="240"/>
          <w:divBdr>
            <w:top w:val="none" w:sz="0" w:space="0" w:color="auto"/>
            <w:left w:val="none" w:sz="0" w:space="0" w:color="auto"/>
            <w:bottom w:val="none" w:sz="0" w:space="0" w:color="auto"/>
            <w:right w:val="none" w:sz="0" w:space="0" w:color="auto"/>
          </w:divBdr>
        </w:div>
      </w:divsChild>
    </w:div>
    <w:div w:id="1834105412">
      <w:bodyDiv w:val="1"/>
      <w:marLeft w:val="0"/>
      <w:marRight w:val="0"/>
      <w:marTop w:val="0"/>
      <w:marBottom w:val="0"/>
      <w:divBdr>
        <w:top w:val="none" w:sz="0" w:space="0" w:color="auto"/>
        <w:left w:val="none" w:sz="0" w:space="0" w:color="auto"/>
        <w:bottom w:val="none" w:sz="0" w:space="0" w:color="auto"/>
        <w:right w:val="none" w:sz="0" w:space="0" w:color="auto"/>
      </w:divBdr>
      <w:divsChild>
        <w:div w:id="158152833">
          <w:marLeft w:val="0"/>
          <w:marRight w:val="0"/>
          <w:marTop w:val="180"/>
          <w:marBottom w:val="240"/>
          <w:divBdr>
            <w:top w:val="none" w:sz="0" w:space="0" w:color="auto"/>
            <w:left w:val="none" w:sz="0" w:space="0" w:color="auto"/>
            <w:bottom w:val="none" w:sz="0" w:space="0" w:color="auto"/>
            <w:right w:val="none" w:sz="0" w:space="0" w:color="auto"/>
          </w:divBdr>
        </w:div>
        <w:div w:id="1295060187">
          <w:marLeft w:val="0"/>
          <w:marRight w:val="0"/>
          <w:marTop w:val="180"/>
          <w:marBottom w:val="240"/>
          <w:divBdr>
            <w:top w:val="none" w:sz="0" w:space="0" w:color="auto"/>
            <w:left w:val="none" w:sz="0" w:space="0" w:color="auto"/>
            <w:bottom w:val="none" w:sz="0" w:space="0" w:color="auto"/>
            <w:right w:val="none" w:sz="0" w:space="0" w:color="auto"/>
          </w:divBdr>
        </w:div>
        <w:div w:id="813371967">
          <w:marLeft w:val="0"/>
          <w:marRight w:val="0"/>
          <w:marTop w:val="360"/>
          <w:marBottom w:val="180"/>
          <w:divBdr>
            <w:top w:val="none" w:sz="0" w:space="0" w:color="auto"/>
            <w:left w:val="none" w:sz="0" w:space="0" w:color="auto"/>
            <w:bottom w:val="none" w:sz="0" w:space="0" w:color="auto"/>
            <w:right w:val="none" w:sz="0" w:space="0" w:color="auto"/>
          </w:divBdr>
        </w:div>
        <w:div w:id="260601932">
          <w:marLeft w:val="0"/>
          <w:marRight w:val="0"/>
          <w:marTop w:val="360"/>
          <w:marBottom w:val="180"/>
          <w:divBdr>
            <w:top w:val="none" w:sz="0" w:space="0" w:color="auto"/>
            <w:left w:val="none" w:sz="0" w:space="0" w:color="auto"/>
            <w:bottom w:val="none" w:sz="0" w:space="0" w:color="auto"/>
            <w:right w:val="none" w:sz="0" w:space="0" w:color="auto"/>
          </w:divBdr>
        </w:div>
        <w:div w:id="1916936689">
          <w:marLeft w:val="0"/>
          <w:marRight w:val="0"/>
          <w:marTop w:val="360"/>
          <w:marBottom w:val="180"/>
          <w:divBdr>
            <w:top w:val="none" w:sz="0" w:space="0" w:color="auto"/>
            <w:left w:val="none" w:sz="0" w:space="0" w:color="auto"/>
            <w:bottom w:val="none" w:sz="0" w:space="0" w:color="auto"/>
            <w:right w:val="none" w:sz="0" w:space="0" w:color="auto"/>
          </w:divBdr>
        </w:div>
        <w:div w:id="800660178">
          <w:marLeft w:val="0"/>
          <w:marRight w:val="0"/>
          <w:marTop w:val="360"/>
          <w:marBottom w:val="180"/>
          <w:divBdr>
            <w:top w:val="none" w:sz="0" w:space="0" w:color="auto"/>
            <w:left w:val="none" w:sz="0" w:space="0" w:color="auto"/>
            <w:bottom w:val="none" w:sz="0" w:space="0" w:color="auto"/>
            <w:right w:val="none" w:sz="0" w:space="0" w:color="auto"/>
          </w:divBdr>
        </w:div>
      </w:divsChild>
    </w:div>
    <w:div w:id="1845129626">
      <w:bodyDiv w:val="1"/>
      <w:marLeft w:val="0"/>
      <w:marRight w:val="0"/>
      <w:marTop w:val="0"/>
      <w:marBottom w:val="0"/>
      <w:divBdr>
        <w:top w:val="none" w:sz="0" w:space="0" w:color="auto"/>
        <w:left w:val="none" w:sz="0" w:space="0" w:color="auto"/>
        <w:bottom w:val="none" w:sz="0" w:space="0" w:color="auto"/>
        <w:right w:val="none" w:sz="0" w:space="0" w:color="auto"/>
      </w:divBdr>
    </w:div>
    <w:div w:id="1948461131">
      <w:bodyDiv w:val="1"/>
      <w:marLeft w:val="0"/>
      <w:marRight w:val="0"/>
      <w:marTop w:val="0"/>
      <w:marBottom w:val="0"/>
      <w:divBdr>
        <w:top w:val="none" w:sz="0" w:space="0" w:color="auto"/>
        <w:left w:val="none" w:sz="0" w:space="0" w:color="auto"/>
        <w:bottom w:val="none" w:sz="0" w:space="0" w:color="auto"/>
        <w:right w:val="none" w:sz="0" w:space="0" w:color="auto"/>
      </w:divBdr>
      <w:divsChild>
        <w:div w:id="721952215">
          <w:marLeft w:val="0"/>
          <w:marRight w:val="0"/>
          <w:marTop w:val="180"/>
          <w:marBottom w:val="240"/>
          <w:divBdr>
            <w:top w:val="none" w:sz="0" w:space="0" w:color="auto"/>
            <w:left w:val="none" w:sz="0" w:space="0" w:color="auto"/>
            <w:bottom w:val="none" w:sz="0" w:space="0" w:color="auto"/>
            <w:right w:val="none" w:sz="0" w:space="0" w:color="auto"/>
          </w:divBdr>
        </w:div>
        <w:div w:id="1275938267">
          <w:marLeft w:val="0"/>
          <w:marRight w:val="0"/>
          <w:marTop w:val="180"/>
          <w:marBottom w:val="240"/>
          <w:divBdr>
            <w:top w:val="none" w:sz="0" w:space="0" w:color="auto"/>
            <w:left w:val="none" w:sz="0" w:space="0" w:color="auto"/>
            <w:bottom w:val="none" w:sz="0" w:space="0" w:color="auto"/>
            <w:right w:val="none" w:sz="0" w:space="0" w:color="auto"/>
          </w:divBdr>
        </w:div>
      </w:divsChild>
    </w:div>
    <w:div w:id="2006979485">
      <w:bodyDiv w:val="1"/>
      <w:marLeft w:val="0"/>
      <w:marRight w:val="0"/>
      <w:marTop w:val="0"/>
      <w:marBottom w:val="0"/>
      <w:divBdr>
        <w:top w:val="none" w:sz="0" w:space="0" w:color="auto"/>
        <w:left w:val="none" w:sz="0" w:space="0" w:color="auto"/>
        <w:bottom w:val="none" w:sz="0" w:space="0" w:color="auto"/>
        <w:right w:val="none" w:sz="0" w:space="0" w:color="auto"/>
      </w:divBdr>
      <w:divsChild>
        <w:div w:id="39205817">
          <w:marLeft w:val="0"/>
          <w:marRight w:val="0"/>
          <w:marTop w:val="360"/>
          <w:marBottom w:val="180"/>
          <w:divBdr>
            <w:top w:val="none" w:sz="0" w:space="0" w:color="auto"/>
            <w:left w:val="none" w:sz="0" w:space="0" w:color="auto"/>
            <w:bottom w:val="none" w:sz="0" w:space="0" w:color="auto"/>
            <w:right w:val="none" w:sz="0" w:space="0" w:color="auto"/>
          </w:divBdr>
        </w:div>
        <w:div w:id="880749067">
          <w:marLeft w:val="0"/>
          <w:marRight w:val="0"/>
          <w:marTop w:val="360"/>
          <w:marBottom w:val="180"/>
          <w:divBdr>
            <w:top w:val="none" w:sz="0" w:space="0" w:color="auto"/>
            <w:left w:val="none" w:sz="0" w:space="0" w:color="auto"/>
            <w:bottom w:val="none" w:sz="0" w:space="0" w:color="auto"/>
            <w:right w:val="none" w:sz="0" w:space="0" w:color="auto"/>
          </w:divBdr>
        </w:div>
        <w:div w:id="909072112">
          <w:marLeft w:val="0"/>
          <w:marRight w:val="0"/>
          <w:marTop w:val="360"/>
          <w:marBottom w:val="180"/>
          <w:divBdr>
            <w:top w:val="none" w:sz="0" w:space="0" w:color="auto"/>
            <w:left w:val="none" w:sz="0" w:space="0" w:color="auto"/>
            <w:bottom w:val="none" w:sz="0" w:space="0" w:color="auto"/>
            <w:right w:val="none" w:sz="0" w:space="0" w:color="auto"/>
          </w:divBdr>
        </w:div>
        <w:div w:id="1782647934">
          <w:marLeft w:val="0"/>
          <w:marRight w:val="0"/>
          <w:marTop w:val="180"/>
          <w:marBottom w:val="240"/>
          <w:divBdr>
            <w:top w:val="none" w:sz="0" w:space="0" w:color="auto"/>
            <w:left w:val="none" w:sz="0" w:space="0" w:color="auto"/>
            <w:bottom w:val="none" w:sz="0" w:space="0" w:color="auto"/>
            <w:right w:val="none" w:sz="0" w:space="0" w:color="auto"/>
          </w:divBdr>
        </w:div>
        <w:div w:id="816455057">
          <w:marLeft w:val="0"/>
          <w:marRight w:val="0"/>
          <w:marTop w:val="360"/>
          <w:marBottom w:val="180"/>
          <w:divBdr>
            <w:top w:val="none" w:sz="0" w:space="0" w:color="auto"/>
            <w:left w:val="none" w:sz="0" w:space="0" w:color="auto"/>
            <w:bottom w:val="none" w:sz="0" w:space="0" w:color="auto"/>
            <w:right w:val="none" w:sz="0" w:space="0" w:color="auto"/>
          </w:divBdr>
        </w:div>
        <w:div w:id="1387949231">
          <w:marLeft w:val="0"/>
          <w:marRight w:val="0"/>
          <w:marTop w:val="180"/>
          <w:marBottom w:val="240"/>
          <w:divBdr>
            <w:top w:val="none" w:sz="0" w:space="0" w:color="auto"/>
            <w:left w:val="none" w:sz="0" w:space="0" w:color="auto"/>
            <w:bottom w:val="none" w:sz="0" w:space="0" w:color="auto"/>
            <w:right w:val="none" w:sz="0" w:space="0" w:color="auto"/>
          </w:divBdr>
        </w:div>
        <w:div w:id="1535579030">
          <w:marLeft w:val="0"/>
          <w:marRight w:val="0"/>
          <w:marTop w:val="360"/>
          <w:marBottom w:val="180"/>
          <w:divBdr>
            <w:top w:val="none" w:sz="0" w:space="0" w:color="auto"/>
            <w:left w:val="none" w:sz="0" w:space="0" w:color="auto"/>
            <w:bottom w:val="none" w:sz="0" w:space="0" w:color="auto"/>
            <w:right w:val="none" w:sz="0" w:space="0" w:color="auto"/>
          </w:divBdr>
        </w:div>
        <w:div w:id="1815371126">
          <w:marLeft w:val="0"/>
          <w:marRight w:val="0"/>
          <w:marTop w:val="18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640C07C9AFB3645AB1E389606244E39" ma:contentTypeVersion="13" ma:contentTypeDescription="Crear nuevo documento." ma:contentTypeScope="" ma:versionID="339c03c7a93555fb6153e29e27c8848a">
  <xsd:schema xmlns:xsd="http://www.w3.org/2001/XMLSchema" xmlns:xs="http://www.w3.org/2001/XMLSchema" xmlns:p="http://schemas.microsoft.com/office/2006/metadata/properties" xmlns:ns2="fd0eb54b-ed74-4015-9471-3cb1cdbbf6c9" xmlns:ns3="3b49c8c8-e26a-41ee-aa49-e613427f3cfc" targetNamespace="http://schemas.microsoft.com/office/2006/metadata/properties" ma:root="true" ma:fieldsID="4294c4aeaba3497d85d4f05f8f01a281" ns2:_="" ns3:_="">
    <xsd:import namespace="fd0eb54b-ed74-4015-9471-3cb1cdbbf6c9"/>
    <xsd:import namespace="3b49c8c8-e26a-41ee-aa49-e613427f3c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0eb54b-ed74-4015-9471-3cb1cdbbf6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49c8c8-e26a-41ee-aa49-e613427f3cf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b71c658-cea9-4a93-a409-ff9b678b2409}" ma:internalName="TaxCatchAll" ma:showField="CatchAllData" ma:web="3b49c8c8-e26a-41ee-aa49-e613427f3c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d0eb54b-ed74-4015-9471-3cb1cdbbf6c9">
      <Terms xmlns="http://schemas.microsoft.com/office/infopath/2007/PartnerControls"/>
    </lcf76f155ced4ddcb4097134ff3c332f>
    <TaxCatchAll xmlns="3b49c8c8-e26a-41ee-aa49-e613427f3cfc" xsi:nil="true"/>
  </documentManagement>
</p:properties>
</file>

<file path=customXml/itemProps1.xml><?xml version="1.0" encoding="utf-8"?>
<ds:datastoreItem xmlns:ds="http://schemas.openxmlformats.org/officeDocument/2006/customXml" ds:itemID="{529C36CF-9A7A-4FC5-B81E-EEA224B1BF05}"/>
</file>

<file path=customXml/itemProps2.xml><?xml version="1.0" encoding="utf-8"?>
<ds:datastoreItem xmlns:ds="http://schemas.openxmlformats.org/officeDocument/2006/customXml" ds:itemID="{92159AB2-12E7-4AD1-A32C-D0E8A173D9D8}"/>
</file>

<file path=customXml/itemProps3.xml><?xml version="1.0" encoding="utf-8"?>
<ds:datastoreItem xmlns:ds="http://schemas.openxmlformats.org/officeDocument/2006/customXml" ds:itemID="{841F75DF-2A09-4A55-A333-6F0B8D699AC1}"/>
</file>

<file path=docProps/app.xml><?xml version="1.0" encoding="utf-8"?>
<Properties xmlns="http://schemas.openxmlformats.org/officeDocument/2006/extended-properties" xmlns:vt="http://schemas.openxmlformats.org/officeDocument/2006/docPropsVTypes">
  <Template>Normal</Template>
  <TotalTime>383</TotalTime>
  <Pages>17</Pages>
  <Words>5867</Words>
  <Characters>32271</Characters>
  <Application>Microsoft Office Word</Application>
  <DocSecurity>0</DocSecurity>
  <Lines>268</Lines>
  <Paragraphs>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EAT</dc:creator>
  <cp:keywords/>
  <dc:description/>
  <cp:lastModifiedBy>USUARIO EAT</cp:lastModifiedBy>
  <cp:revision>25</cp:revision>
  <dcterms:created xsi:type="dcterms:W3CDTF">2026-04-30T22:12:00Z</dcterms:created>
  <dcterms:modified xsi:type="dcterms:W3CDTF">2026-05-11T15:19:00Z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0x0101000640C07C9AFB3645AB1E389606244E39</vt:lpwstr>
  </property>
</Properties>
</file>